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78"/>
        <w:spacing w:line="560" w:lineRule="exact"/>
        <w:rPr>
          <w:rFonts w:eastAsia="方正小标宋_GBK"/>
          <w:bCs/>
          <w:snapToGrid w:val="0"/>
          <w:color w:val="000000"/>
          <w:spacing w:val="-2"/>
          <w:sz w:val="44"/>
          <w:szCs w:val="44"/>
        </w:rPr>
      </w:pPr>
      <w:r>
        <w:rPr>
          <w:rFonts w:eastAsia="方正小标宋_GBK" w:hint="eastAsia"/>
          <w:bCs/>
          <w:snapToGrid w:val="0"/>
          <w:color w:val="000000"/>
          <w:spacing w:val="-2"/>
          <w:sz w:val="44"/>
          <w:szCs w:val="44"/>
        </w:rPr>
        <w:t>东江口海关</w:t>
      </w:r>
      <w:r>
        <w:rPr>
          <w:rFonts w:eastAsia="方正小标宋_GBK"/>
          <w:bCs/>
          <w:snapToGrid w:val="0"/>
          <w:color w:val="000000"/>
          <w:spacing w:val="-2"/>
          <w:sz w:val="44"/>
          <w:szCs w:val="44"/>
        </w:rPr>
        <w:t>2018</w:t>
      </w:r>
      <w:r>
        <w:rPr>
          <w:rFonts w:eastAsia="方正小标宋_GBK" w:hint="eastAsia"/>
          <w:bCs/>
          <w:snapToGrid w:val="0"/>
          <w:color w:val="000000"/>
          <w:spacing w:val="-2"/>
          <w:sz w:val="44"/>
          <w:szCs w:val="44"/>
        </w:rPr>
        <w:t>年海关政府信息公开年度报告</w:t>
      </w:r>
    </w:p>
    <w:p>
      <w:pPr>
        <w:pStyle w:val="50"/>
        <w:spacing w:line="560" w:lineRule="exact"/>
        <w:ind w:firstLineChars="200" w:firstLine="852"/>
        <w:rPr>
          <w:rFonts w:eastAsia="方正仿宋_GBK"/>
          <w:bCs/>
          <w:snapToGrid w:val="0"/>
          <w:color w:val="000000"/>
          <w:sz w:val="32"/>
          <w:szCs w:val="32"/>
        </w:rPr>
      </w:pPr>
    </w:p>
    <w:p>
      <w:pPr>
        <w:pStyle w:val="50"/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年，东江口海关全面贯彻党的十九大精神及全国海关关长会议、黄埔海关关区工作会议精神，认真落实《黄埔海关落实〈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年政务公开工作要点〉实施方案》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(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办公室便函〔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〕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 xml:space="preserve">28 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号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)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的工作部署，不断完善政务公开机制，全面推进政务公开工作。主要情况如下：</w:t>
      </w:r>
    </w:p>
    <w:p>
      <w:pPr>
        <w:pStyle w:val="72"/>
        <w:widowControl/>
        <w:spacing w:line="560" w:lineRule="exact"/>
        <w:ind w:firstLineChars="147" w:firstLine="626"/>
        <w:rPr>
          <w:rFonts w:eastAsia="方正黑体_GBK"/>
          <w:snapToGrid w:val="0"/>
          <w:color w:val="000000"/>
          <w:sz w:val="32"/>
          <w:szCs w:val="32"/>
        </w:rPr>
      </w:pPr>
      <w:r>
        <w:rPr>
          <w:rFonts w:eastAsia="方正黑体_GBK" w:hint="eastAsia"/>
          <w:snapToGrid w:val="0"/>
          <w:color w:val="000000"/>
          <w:sz w:val="32"/>
          <w:szCs w:val="32"/>
        </w:rPr>
        <w:t>一、</w:t>
      </w:r>
      <w:r>
        <w:rPr>
          <w:rFonts w:eastAsia="方正黑体_GBK"/>
          <w:snapToGrid w:val="0"/>
          <w:color w:val="000000"/>
          <w:sz w:val="32"/>
          <w:szCs w:val="32"/>
        </w:rPr>
        <w:t>2018</w:t>
      </w:r>
      <w:r>
        <w:rPr>
          <w:rFonts w:eastAsia="方正黑体_GBK" w:hint="eastAsia"/>
          <w:snapToGrid w:val="0"/>
          <w:color w:val="000000"/>
          <w:sz w:val="32"/>
          <w:szCs w:val="32"/>
        </w:rPr>
        <w:t>年海关政府信息公开工作开展情况</w:t>
      </w:r>
    </w:p>
    <w:p>
      <w:pPr>
        <w:spacing w:line="560" w:lineRule="exact"/>
        <w:ind w:firstLineChars="147" w:firstLine="626"/>
        <w:rPr>
          <w:rFonts w:eastAsia="方正楷体_GBK"/>
          <w:b/>
          <w:bCs/>
          <w:snapToGrid w:val="0"/>
          <w:color w:val="000000"/>
          <w:sz w:val="32"/>
          <w:szCs w:val="32"/>
        </w:rPr>
      </w:pPr>
      <w:r>
        <w:rPr>
          <w:rFonts w:eastAsia="方正楷体_GBK" w:hint="eastAsia"/>
          <w:b/>
          <w:bCs/>
          <w:snapToGrid w:val="0"/>
          <w:color w:val="000000"/>
          <w:sz w:val="32"/>
          <w:szCs w:val="32"/>
        </w:rPr>
        <w:t>（一）夯实基础，稳步推进信息公开工作</w:t>
      </w:r>
    </w:p>
    <w:p>
      <w:pPr>
        <w:pStyle w:val="37"/>
        <w:spacing w:before="0" w:beforeAutospacing="0" w:after="0" w:afterAutospacing="0" w:line="560" w:lineRule="exact"/>
        <w:ind w:firstLineChars="147" w:firstLine="626"/>
        <w:jc w:val="both"/>
        <w:rPr>
          <w:rFonts w:ascii="Times New Roman" w:eastAsia="方正仿宋_GBK" w:hAnsi="Times New Roman"/>
          <w:bCs/>
          <w:snapToGrid w:val="0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bCs/>
          <w:snapToGrid w:val="0"/>
          <w:color w:val="000000"/>
          <w:sz w:val="32"/>
          <w:szCs w:val="32"/>
        </w:rPr>
        <w:t>根据《黄埔海关政府信息公开工作规程》《黄埔海关政务公开考核实施细则（暂行）》要求，认真完善制度规范，出台《东江口海关政务公开考核实施细则（暂行）》，建立健全政府信息公开内容、流程、平台、时限等相关标准，成立政务公开领导小组，配齐配强专职工作人员，稳步推进政务公开工作制度化、规范化；结合办公大楼改造工作，全面梳理细化政务公开布置需求，因地制宜地做好公众取阅资料架、公告栏、宣传栏等、基础设施建设，定期更新维护公开、公布内容，确保行政相对人获得及时、有效的政务信息，</w:t>
      </w:r>
      <w:r>
        <w:rPr>
          <w:rFonts w:ascii="Times New Roman" w:eastAsia="方正仿宋_GBK" w:hAnsi="Times New Roman"/>
          <w:bCs/>
          <w:snapToGrid w:val="0"/>
          <w:color w:val="000000"/>
          <w:sz w:val="32"/>
          <w:szCs w:val="32"/>
        </w:rPr>
        <w:t>2018</w:t>
      </w:r>
      <w:r>
        <w:rPr>
          <w:rFonts w:ascii="Times New Roman" w:eastAsia="方正仿宋_GBK" w:hAnsi="Times New Roman" w:hint="eastAsia"/>
          <w:bCs/>
          <w:snapToGrid w:val="0"/>
          <w:color w:val="000000"/>
          <w:sz w:val="32"/>
          <w:szCs w:val="32"/>
        </w:rPr>
        <w:t>年共计制作更新海关公告栏</w:t>
      </w:r>
      <w:r>
        <w:rPr>
          <w:rFonts w:ascii="Times New Roman" w:eastAsia="方正仿宋_GBK" w:hAnsi="Times New Roman"/>
          <w:bCs/>
          <w:snapToGrid w:val="0"/>
          <w:color w:val="000000"/>
          <w:sz w:val="32"/>
          <w:szCs w:val="32"/>
        </w:rPr>
        <w:t>3</w:t>
      </w:r>
      <w:r>
        <w:rPr>
          <w:rFonts w:ascii="Times New Roman" w:eastAsia="方正仿宋_GBK" w:hAnsi="Times New Roman" w:hint="eastAsia"/>
          <w:bCs/>
          <w:snapToGrid w:val="0"/>
          <w:color w:val="000000"/>
          <w:sz w:val="32"/>
          <w:szCs w:val="32"/>
        </w:rPr>
        <w:t>块，宣传栏</w:t>
      </w:r>
      <w:r>
        <w:rPr>
          <w:rFonts w:ascii="Times New Roman" w:eastAsia="方正仿宋_GBK" w:hAnsi="Times New Roman"/>
          <w:bCs/>
          <w:snapToGrid w:val="0"/>
          <w:color w:val="000000"/>
          <w:sz w:val="32"/>
          <w:szCs w:val="32"/>
        </w:rPr>
        <w:t>10</w:t>
      </w:r>
      <w:r>
        <w:rPr>
          <w:rFonts w:ascii="Times New Roman" w:eastAsia="方正仿宋_GBK" w:hAnsi="Times New Roman" w:hint="eastAsia"/>
          <w:bCs/>
          <w:snapToGrid w:val="0"/>
          <w:color w:val="000000"/>
          <w:sz w:val="32"/>
          <w:szCs w:val="32"/>
        </w:rPr>
        <w:t>余块，各项标志标识</w:t>
      </w:r>
      <w:r>
        <w:rPr>
          <w:rFonts w:ascii="Times New Roman" w:eastAsia="方正仿宋_GBK" w:hAnsi="Times New Roman"/>
          <w:bCs/>
          <w:snapToGrid w:val="0"/>
          <w:color w:val="000000"/>
          <w:sz w:val="32"/>
          <w:szCs w:val="32"/>
        </w:rPr>
        <w:t>20</w:t>
      </w:r>
      <w:r>
        <w:rPr>
          <w:rFonts w:ascii="Times New Roman" w:eastAsia="方正仿宋_GBK" w:hAnsi="Times New Roman" w:hint="eastAsia"/>
          <w:bCs/>
          <w:snapToGrid w:val="0"/>
          <w:color w:val="000000"/>
          <w:sz w:val="32"/>
          <w:szCs w:val="32"/>
        </w:rPr>
        <w:t>余处。</w:t>
      </w:r>
    </w:p>
    <w:p>
      <w:pPr>
        <w:spacing w:line="560" w:lineRule="exact"/>
        <w:ind w:firstLineChars="147" w:firstLine="626"/>
        <w:rPr>
          <w:rFonts w:eastAsia="方正楷体_GBK"/>
          <w:b/>
          <w:bCs/>
          <w:snapToGrid w:val="0"/>
          <w:color w:val="000000"/>
          <w:sz w:val="32"/>
          <w:szCs w:val="32"/>
        </w:rPr>
      </w:pPr>
      <w:r>
        <w:rPr>
          <w:rFonts w:eastAsia="方正楷体_GBK" w:hint="eastAsia"/>
          <w:b/>
          <w:bCs/>
          <w:snapToGrid w:val="0"/>
          <w:color w:val="000000"/>
          <w:sz w:val="32"/>
          <w:szCs w:val="32"/>
        </w:rPr>
        <w:t>（二）主动作为，全面提升政务公开实效</w:t>
      </w:r>
    </w:p>
    <w:p>
      <w:pPr>
        <w:pStyle w:val="40"/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kern w:val="2"/>
          <w:sz w:val="32"/>
          <w:szCs w:val="32"/>
        </w:rPr>
      </w:pP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一是丰富政务公开渠道和载体。持续加大传统媒体宣传力度，年内我关先后发布《海关实施企业信用管理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 xml:space="preserve"> 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诚信企业享便利》《诚信企业可享通关提速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 xml:space="preserve"> 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黄埔海关认证企业进出口金额超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5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成》《主动披露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有着数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 xml:space="preserve"> 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海关教你领红利》等稿件，共计被《法制日报》、《国际商报》、《南方日报》、中国海关互联网、广州电视台、等中央省市媒体采用约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30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篇次；充分利用微信、微博等新媒体平台，出台新媒体管理实施办法，积极发挥新媒体在信息发布、政策解读、办事服务等方面的作用，今年我关共计在在总署、总关政务微博发布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4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篇，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“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黄埔海关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12360”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公众号发布微信稿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3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篇次，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“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青青埔关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公众号发布微信稿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3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篇次。</w:t>
      </w:r>
    </w:p>
    <w:p>
      <w:pPr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二是积极搭建关企沟通平台。围绕海关改革和业务重点，组织开展主动披露、新的企业信用管理办法等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4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次专题大型政策宣讲会，覆盖企业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400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多家，并开展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“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送服务进企业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、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“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一对一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政策辅导等关企沟通活动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50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余次，覆盖上百家企业；自行设计制作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4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种宣传小册子，通过外勤下厂、政策宣讲等渠道直接向企业派发，做好企业疑难解答、政策法规推送等服务。</w:t>
      </w:r>
    </w:p>
    <w:p>
      <w:pPr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三是不断加大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 xml:space="preserve"> “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互联网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+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海关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应用，开展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 xml:space="preserve"> “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面对面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推广，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“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一对一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跟踪指导，引导和鼓励企业和稽核查执法人员充分运用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“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互联网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+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海关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平台提交补充报告、单证材料、主动披露报告。全年通过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“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互联网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+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海关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办理稽核查业务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406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份，电子签章成功运用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165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份，主动披露报告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100%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通过网上办理。</w:t>
      </w:r>
    </w:p>
    <w:p>
      <w:pPr>
        <w:pStyle w:val="76"/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kern w:val="2"/>
          <w:sz w:val="32"/>
          <w:szCs w:val="32"/>
        </w:rPr>
      </w:pP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四是继续做好法制宣传工作。认真开展国家宪法周、海关法治宣传周、世界知识产权保护日等学法普法活动，同时结合外勤下厂、政策宣讲会、关检融合培训等多渠道、多形式加大内外普法宣传。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年开展普法宣传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435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次，参加的企业数达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766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家次，人数超</w:t>
      </w:r>
      <w:r>
        <w:rPr>
          <w:rFonts w:eastAsia="方正仿宋_GBK"/>
          <w:bCs/>
          <w:snapToGrid w:val="0"/>
          <w:color w:val="000000"/>
          <w:kern w:val="2"/>
          <w:sz w:val="32"/>
          <w:szCs w:val="32"/>
        </w:rPr>
        <w:t>2000</w:t>
      </w:r>
      <w:r>
        <w:rPr>
          <w:rFonts w:eastAsia="方正仿宋_GBK" w:hint="eastAsia"/>
          <w:bCs/>
          <w:snapToGrid w:val="0"/>
          <w:color w:val="000000"/>
          <w:kern w:val="2"/>
          <w:sz w:val="32"/>
          <w:szCs w:val="32"/>
        </w:rPr>
        <w:t>人次。</w:t>
      </w:r>
    </w:p>
    <w:p>
      <w:pPr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五是积极落实《黄埔海关推进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“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双公示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工作实施方案》要求，积极协助原黄埔检验检疫局做好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2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次行政处罚信息公示工作。</w:t>
      </w:r>
    </w:p>
    <w:p>
      <w:pPr>
        <w:pStyle w:val="72"/>
        <w:widowControl/>
        <w:spacing w:line="560" w:lineRule="exact"/>
        <w:ind w:firstLineChars="147" w:firstLine="626"/>
        <w:rPr>
          <w:rFonts w:eastAsia="方正黑体_GBK"/>
          <w:bCs/>
          <w:snapToGrid w:val="0"/>
          <w:color w:val="000000"/>
          <w:sz w:val="32"/>
          <w:szCs w:val="32"/>
        </w:rPr>
      </w:pPr>
      <w:r>
        <w:rPr>
          <w:rFonts w:eastAsia="方正黑体_GBK" w:hint="eastAsia"/>
          <w:bCs/>
          <w:snapToGrid w:val="0"/>
          <w:color w:val="000000"/>
          <w:sz w:val="32"/>
          <w:szCs w:val="32"/>
        </w:rPr>
        <w:t>二、主动公开海关政府信息的情况</w:t>
      </w:r>
    </w:p>
    <w:p>
      <w:pPr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年，东江口海关严格落实《中华人民共和国海关政府信息公开办法》的有关规定，围绕海关各项改革，紧贴外界需求，通过现场公开、政策宣讲、新媒体推送等方式积极做好海关政府信息公开工作。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年主动公开海关信息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100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余条，其中：通过黄埔海关门户网站公开行政处罚信息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2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条，通过黄埔海关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12360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政务微博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3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条，通过黄埔海关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12360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微信发布信息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3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条，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“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青青埔关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”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微信发布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3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条，其他公开方式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90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余条。</w:t>
      </w:r>
    </w:p>
    <w:p>
      <w:pPr>
        <w:pStyle w:val="72"/>
        <w:widowControl/>
        <w:spacing w:line="560" w:lineRule="exact"/>
        <w:ind w:firstLineChars="147" w:firstLine="626"/>
        <w:rPr>
          <w:rFonts w:eastAsia="方正黑体_GBK"/>
          <w:bCs/>
          <w:snapToGrid w:val="0"/>
          <w:color w:val="000000"/>
          <w:sz w:val="32"/>
          <w:szCs w:val="32"/>
        </w:rPr>
      </w:pPr>
      <w:r>
        <w:rPr>
          <w:rFonts w:eastAsia="方正黑体_GBK" w:hint="eastAsia"/>
          <w:bCs/>
          <w:snapToGrid w:val="0"/>
          <w:color w:val="000000"/>
          <w:sz w:val="32"/>
          <w:szCs w:val="32"/>
        </w:rPr>
        <w:t>三、依申请公开海关政府信息和不予公开海关政府信息的情况</w:t>
      </w:r>
    </w:p>
    <w:p>
      <w:pPr>
        <w:pStyle w:val="65"/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年，东江口海关没有收到依申请公开事项。</w:t>
      </w:r>
    </w:p>
    <w:p>
      <w:pPr>
        <w:pStyle w:val="72"/>
        <w:widowControl/>
        <w:spacing w:line="560" w:lineRule="exact"/>
        <w:ind w:firstLineChars="147" w:firstLine="626"/>
        <w:rPr>
          <w:rFonts w:eastAsia="方正黑体_GBK"/>
          <w:bCs/>
          <w:snapToGrid w:val="0"/>
          <w:color w:val="000000"/>
          <w:sz w:val="32"/>
          <w:szCs w:val="32"/>
        </w:rPr>
      </w:pPr>
      <w:r>
        <w:rPr>
          <w:rFonts w:eastAsia="方正黑体_GBK" w:hint="eastAsia"/>
          <w:bCs/>
          <w:snapToGrid w:val="0"/>
          <w:color w:val="000000"/>
          <w:sz w:val="32"/>
          <w:szCs w:val="32"/>
        </w:rPr>
        <w:t>四、海关政府信息公开的收费及减免情况</w:t>
      </w:r>
    </w:p>
    <w:p>
      <w:pPr>
        <w:pStyle w:val="65"/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年，东江口海关未向任何公民、法人或其他社会组织收取或减免海关政务信息公开的费用，所有主动公开信息均为免费提供。</w:t>
      </w:r>
    </w:p>
    <w:p>
      <w:pPr>
        <w:pStyle w:val="72"/>
        <w:widowControl/>
        <w:spacing w:line="560" w:lineRule="exact"/>
        <w:ind w:firstLineChars="147" w:firstLine="626"/>
        <w:rPr>
          <w:rFonts w:eastAsia="方正黑体_GBK"/>
          <w:bCs/>
          <w:snapToGrid w:val="0"/>
          <w:color w:val="000000"/>
          <w:sz w:val="32"/>
          <w:szCs w:val="32"/>
        </w:rPr>
      </w:pPr>
      <w:r>
        <w:rPr>
          <w:rFonts w:eastAsia="方正黑体_GBK" w:hint="eastAsia"/>
          <w:bCs/>
          <w:snapToGrid w:val="0"/>
          <w:color w:val="000000"/>
          <w:sz w:val="32"/>
          <w:szCs w:val="32"/>
        </w:rPr>
        <w:t>五、因海关政府信息公开申请行政复议、提起行政诉讼的情况</w:t>
      </w:r>
    </w:p>
    <w:p>
      <w:pPr>
        <w:pStyle w:val="65"/>
        <w:widowControl/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年，东江口海关没有因政府信息公开申请行政复议、提起行政诉讼的情况。</w:t>
      </w:r>
    </w:p>
    <w:p>
      <w:pPr>
        <w:pStyle w:val="72"/>
        <w:widowControl/>
        <w:spacing w:line="560" w:lineRule="exact"/>
        <w:ind w:firstLineChars="147" w:firstLine="626"/>
        <w:rPr>
          <w:rFonts w:eastAsia="方正黑体_GBK"/>
          <w:bCs/>
          <w:snapToGrid w:val="0"/>
          <w:color w:val="000000"/>
          <w:sz w:val="32"/>
          <w:szCs w:val="32"/>
        </w:rPr>
      </w:pPr>
      <w:r>
        <w:rPr>
          <w:rFonts w:eastAsia="方正黑体_GBK" w:hint="eastAsia"/>
          <w:bCs/>
          <w:snapToGrid w:val="0"/>
          <w:color w:val="000000"/>
          <w:sz w:val="32"/>
          <w:szCs w:val="32"/>
        </w:rPr>
        <w:t>六、存在的主要问题及改进措施</w:t>
      </w:r>
    </w:p>
    <w:p>
      <w:pPr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年，东江口海关政府信息公开工作在总关的统一领导下，取得了良好的成效，但仍然存在不足需要进一步改进：</w:t>
      </w:r>
    </w:p>
    <w:p>
      <w:pPr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一是信息公开基础工作有待进一步加强。我关恢复独立运作一年多，且机构改革后正式更名，各项信息公开工作需进一步全面梳理完善，政务公开工作人员还需加强岗位业务学习，提升政务公开工作水平。</w:t>
      </w:r>
    </w:p>
    <w:p>
      <w:pPr>
        <w:spacing w:line="560" w:lineRule="exact"/>
        <w:ind w:firstLineChars="147" w:firstLine="626"/>
        <w:rPr>
          <w:rFonts w:eastAsia="方正仿宋_GBK"/>
          <w:bCs/>
          <w:snapToGrid w:val="0"/>
          <w:color w:val="000000"/>
          <w:sz w:val="32"/>
          <w:szCs w:val="32"/>
        </w:rPr>
      </w:pP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二是政策宣传方式有待继续创新加强。</w:t>
      </w:r>
      <w:r>
        <w:rPr>
          <w:rFonts w:eastAsia="方正仿宋_GBK"/>
          <w:bCs/>
          <w:snapToGrid w:val="0"/>
          <w:color w:val="000000"/>
          <w:sz w:val="32"/>
          <w:szCs w:val="32"/>
        </w:rPr>
        <w:t>2018</w:t>
      </w:r>
      <w:r>
        <w:rPr>
          <w:rFonts w:eastAsia="方正仿宋_GBK" w:hint="eastAsia"/>
          <w:bCs/>
          <w:snapToGrid w:val="0"/>
          <w:color w:val="000000"/>
          <w:sz w:val="32"/>
          <w:szCs w:val="32"/>
        </w:rPr>
        <w:t>年虽然加强了对微博、微信和微视频等新媒体利用力度，但数量和质量上还需继续加强，还需继续发展多渠道政策宣传，创新宣传方式，进一步提升宣传效果。</w:t>
      </w:r>
      <w:bookmarkStart w:id="0" w:name="_GoBack"/>
      <w:bookmarkEnd w:id="0"/>
    </w:p>
    <w:sectPr>
      <w:footerReference w:type="default" r:id="rId2"/>
      <w:pgSz w:w="11907" w:h="16840"/>
      <w:pgMar w:top="1797" w:right="1440" w:bottom="1797" w:left="1440" w:header="1814" w:footer="1474" w:gutter="0"/>
      <w:pgNumType w:start="0"/>
      <w:titlePg/>
      <w:docGrid w:type="linesAndChars" w:linePitch="580" w:charSpace="2167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um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pPr>
      <w:widowControl/>
      <w:spacing w:before="100" w:beforeAutospacing="1" w:after="100" w:afterAutospacing="1"/>
      <w:jc w:val="left"/>
      <w:outlineLvl w:val="0"/>
    </w:pPr>
    <w:rPr>
      <w:rFonts w:ascii="宋体"/>
      <w:b/>
      <w:kern w:val="36"/>
      <w:sz w:val="48"/>
      <w:szCs w:val="21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6"/>
    <w:basedOn w:val="0"/>
    <w:autoRedefine/>
    <w:next w:val="0"/>
    <w:pPr>
      <w:ind w:left="210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8">
    <w:name w:val="Normal (Web)"/>
    <w:basedOn w:val="0"/>
    <w:next w:val="15"/>
    <w:pPr>
      <w:spacing w:before="100" w:beforeAutospacing="1" w:after="100" w:afterAutospacing="1"/>
      <w:jc w:val="left"/>
    </w:pPr>
    <w:rPr>
      <w:rFonts w:ascii="宋体"/>
      <w:sz w:val="24"/>
      <w:szCs w:val="20"/>
    </w:rPr>
  </w:style>
  <w:style w:type="paragraph" w:customStyle="1" w:styleId="19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6">
    <w:name w:val="样式 3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7">
    <w:name w:val="样式 4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8">
    <w:name w:val="样式 5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9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6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38">
    <w:name w:val="样式 7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39">
    <w:name w:val="样式 8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40">
    <w:name w:val="样式 12 10 磅"/>
    <w:pPr>
      <w:jc w:val="both"/>
    </w:pPr>
    <w:rPr>
      <w:rFonts w:ascii="Times New Roman" w:eastAsia="宋体" w:cs="Times New Roman" w:hAnsi="Times New Roman"/>
      <w:kern w:val="0"/>
      <w:sz w:val="21"/>
      <w:szCs w:val="21"/>
      <w:lang w:val="en-US" w:eastAsia="zh-CN" w:bidi="ar-SA"/>
    </w:rPr>
  </w:style>
  <w:style w:type="paragraph" w:customStyle="1" w:styleId="41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9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48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0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小一"/>
    <w:pPr>
      <w:spacing w:before="100" w:beforeAutospacing="1" w:after="100" w:afterAutospacing="1"/>
      <w:outlineLvl w:val="0"/>
    </w:pPr>
    <w:rPr>
      <w:rFonts w:ascii="宋体" w:eastAsia="宋体" w:cs="Times New Roman"/>
      <w:b/>
      <w:kern w:val="36"/>
      <w:sz w:val="48"/>
      <w:szCs w:val="21"/>
      <w:lang w:val="en-US" w:eastAsia="zh-CN" w:bidi="ar-SA"/>
    </w:rPr>
  </w:style>
  <w:style w:type="paragraph" w:customStyle="1" w:styleId="54">
    <w:name w:val="样式 1 小一"/>
    <w:pPr>
      <w:spacing w:before="100" w:beforeAutospacing="1" w:after="100" w:afterAutospacing="1"/>
      <w:outlineLvl w:val="0"/>
    </w:pPr>
    <w:rPr>
      <w:rFonts w:ascii="宋体" w:eastAsia="宋体" w:cs="Times New Roman"/>
      <w:b/>
      <w:kern w:val="36"/>
      <w:sz w:val="48"/>
      <w:szCs w:val="21"/>
      <w:lang w:val="en-US" w:eastAsia="zh-CN" w:bidi="ar-SA"/>
    </w:rPr>
  </w:style>
  <w:style w:type="paragraph" w:customStyle="1" w:styleId="55">
    <w:name w:val="样式 24 10 磅"/>
    <w:pPr>
      <w:jc w:val="both"/>
    </w:pPr>
    <w:rPr>
      <w:rFonts w:ascii="Times New Roman" w:eastAsia="宋体" w:cs="Times New Roman" w:hAnsi="Times New Roman"/>
      <w:kern w:val="0"/>
      <w:sz w:val="21"/>
      <w:szCs w:val="21"/>
      <w:lang w:val="en-US" w:eastAsia="zh-CN" w:bidi="ar-SA"/>
    </w:rPr>
  </w:style>
  <w:style w:type="paragraph" w:customStyle="1" w:styleId="56">
    <w:name w:val="样式 25 10 磅"/>
    <w:pPr>
      <w:jc w:val="both"/>
    </w:pPr>
    <w:rPr>
      <w:rFonts w:ascii="Times New Roman" w:eastAsia="宋体" w:cs="Times New Roman" w:hAnsi="Times New Roman"/>
      <w:kern w:val="0"/>
      <w:sz w:val="21"/>
      <w:szCs w:val="21"/>
      <w:lang w:val="en-US" w:eastAsia="zh-CN" w:bidi="ar-SA"/>
    </w:rPr>
  </w:style>
  <w:style w:type="paragraph" w:customStyle="1" w:styleId="57">
    <w:name w:val="样式 26 10 磅"/>
    <w:pPr>
      <w:jc w:val="both"/>
    </w:pPr>
    <w:rPr>
      <w:rFonts w:ascii="Times New Roman" w:eastAsia="宋体" w:cs="Times New Roman" w:hAnsi="Times New Roman"/>
      <w:kern w:val="0"/>
      <w:sz w:val="21"/>
      <w:szCs w:val="21"/>
      <w:lang w:val="en-US" w:eastAsia="zh-CN" w:bidi="ar-SA"/>
    </w:rPr>
  </w:style>
  <w:style w:type="paragraph" w:customStyle="1" w:styleId="58">
    <w:name w:val="样式 27 10 磅"/>
    <w:pPr>
      <w:jc w:val="both"/>
    </w:pPr>
    <w:rPr>
      <w:rFonts w:ascii="Times New Roman" w:eastAsia="宋体" w:cs="Times New Roman" w:hAnsi="Times New Roman"/>
      <w:kern w:val="0"/>
      <w:sz w:val="21"/>
      <w:szCs w:val="21"/>
      <w:lang w:val="en-US" w:eastAsia="zh-CN" w:bidi="ar-SA"/>
    </w:rPr>
  </w:style>
  <w:style w:type="paragraph" w:customStyle="1" w:styleId="59">
    <w:name w:val="样式 28 10 磅"/>
    <w:pPr>
      <w:jc w:val="both"/>
    </w:pPr>
    <w:rPr>
      <w:rFonts w:ascii="Times New Roman" w:eastAsia="宋体" w:cs="Times New Roman" w:hAnsi="Times New Roman"/>
      <w:kern w:val="0"/>
      <w:sz w:val="21"/>
      <w:szCs w:val="21"/>
      <w:lang w:val="en-US" w:eastAsia="zh-CN" w:bidi="ar-SA"/>
    </w:rPr>
  </w:style>
  <w:style w:type="paragraph" w:customStyle="1" w:styleId="60">
    <w:name w:val="样式 29 10 磅"/>
    <w:pPr>
      <w:jc w:val="both"/>
    </w:pPr>
    <w:rPr>
      <w:rFonts w:ascii="Times New Roman" w:eastAsia="宋体" w:cs="Times New Roman" w:hAnsi="Times New Roman"/>
      <w:kern w:val="0"/>
      <w:sz w:val="21"/>
      <w:szCs w:val="21"/>
      <w:lang w:val="en-US" w:eastAsia="zh-CN" w:bidi="ar-SA"/>
    </w:rPr>
  </w:style>
  <w:style w:type="paragraph" w:customStyle="1" w:styleId="61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3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4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6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8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9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0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1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72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3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4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5">
    <w:name w:val="样式 43 10 磅"/>
    <w:pPr>
      <w:jc w:val="both"/>
    </w:pPr>
    <w:rPr>
      <w:rFonts w:ascii="Times New Roman" w:eastAsia="宋体" w:cs="Times New Roman" w:hAnsi="Times New Roman"/>
      <w:kern w:val="0"/>
      <w:sz w:val="21"/>
      <w:szCs w:val="21"/>
      <w:lang w:val="en-US" w:eastAsia="zh-CN" w:bidi="ar-SA"/>
    </w:rPr>
  </w:style>
  <w:style w:type="paragraph" w:customStyle="1" w:styleId="76">
    <w:name w:val="样式 44 10 磅"/>
    <w:pPr>
      <w:jc w:val="both"/>
    </w:pPr>
    <w:rPr>
      <w:rFonts w:ascii="Times New Roman" w:eastAsia="宋体" w:cs="Times New Roman" w:hAnsi="Times New Roman"/>
      <w:kern w:val="0"/>
      <w:sz w:val="21"/>
      <w:szCs w:val="21"/>
      <w:lang w:val="en-US" w:eastAsia="zh-CN" w:bidi="ar-SA"/>
    </w:rPr>
  </w:style>
  <w:style w:type="paragraph" w:customStyle="1" w:styleId="77">
    <w:name w:val="样式 10 小四"/>
    <w:rPr>
      <w:rFonts w:ascii="Times New Roman" w:eastAsia="宋体" w:cs="Times New Roman" w:hAnsi="Times New Roman"/>
      <w:kern w:val="0"/>
      <w:sz w:val="24"/>
      <w:szCs w:val="24"/>
      <w:lang w:val="en-US" w:eastAsia="en-US" w:bidi="ar-SA"/>
    </w:rPr>
  </w:style>
  <w:style w:type="paragraph" w:customStyle="1" w:styleId="78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4</Pages>
  <Words>1805</Words>
  <Characters>1884</Characters>
  <Lines>78</Lines>
  <Paragraphs>23</Paragraphs>
  <CharactersWithSpaces>1890</CharactersWithSpaces>
  <Company>黄埔海关技术处制作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东江口海关2018年海关政府信息公开年度报告</dc:title>
  <dc:creator>扶玥</dc:creator>
  <cp:lastModifiedBy>管理网 WIN7-V16.12.01</cp:lastModifiedBy>
  <cp:revision>3</cp:revision>
  <dcterms:created xsi:type="dcterms:W3CDTF">2019-03-18T01:43:00Z</dcterms:created>
  <dcterms:modified xsi:type="dcterms:W3CDTF">2019-03-28T07:14:50Z</dcterms:modified>
</cp:coreProperties>
</file>