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wordWrap/>
        <w:bidi w:val="0"/>
        <w:jc w:val="center"/>
        <w:rPr>
          <w:rFonts w:ascii="方正小标宋_GBK" w:eastAsia="方正小标宋_GBK" w:hint="eastAsia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电商业务监管科</w:t>
      </w:r>
      <w:r>
        <w:rPr>
          <w:rFonts w:ascii="方正小标宋_GBK" w:eastAsia="方正小标宋_GBK"/>
          <w:sz w:val="44"/>
          <w:szCs w:val="44"/>
        </w:rPr>
        <w:t>办事指南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wordWrap/>
        <w:bidi w:val="0"/>
        <w:spacing w:line="560" w:lineRule="exact"/>
        <w:jc w:val="left"/>
        <w:rPr>
          <w:rFonts w:ascii="方正黑体_GBK" w:eastAsia="方正黑体_GBK" w:hint="eastAsia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受理业务事项：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wordWrap/>
        <w:bidi w:val="0"/>
        <w:spacing w:line="560" w:lineRule="exact"/>
        <w:jc w:val="left"/>
        <w:rPr>
          <w:rFonts w:ascii="方正仿宋_GBK" w:eastAsia="方正仿宋_GBK" w:hint="eastAsia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一、负责新塘口岸车检场跨境电商出口货物的查验；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wordWrap/>
        <w:bidi w:val="0"/>
        <w:spacing w:line="560" w:lineRule="exact"/>
        <w:jc w:val="left"/>
        <w:rPr>
          <w:rFonts w:ascii="方正仿宋_GBK" w:eastAsia="方正仿宋_GBK" w:hint="eastAsia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 xml:space="preserve">二、负责对新塘口岸车检场进出境运输工具实施监管；                                      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wordWrap/>
        <w:bidi w:val="0"/>
        <w:spacing w:line="560" w:lineRule="exact"/>
        <w:jc w:val="left"/>
        <w:rPr>
          <w:rFonts w:ascii="方正仿宋_GBK" w:eastAsia="方正仿宋_GBK" w:hint="eastAsia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三、负责查验异常货物的后续处置(移交、退运)。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wordWrap/>
        <w:spacing w:line="560" w:lineRule="exact"/>
        <w:jc w:val="left"/>
        <w:rPr>
          <w:rFonts w:ascii="方正黑体_GBK" w:eastAsia="方正黑体_GBK" w:hint="eastAsia"/>
          <w:bCs/>
          <w:sz w:val="32"/>
          <w:szCs w:val="32"/>
        </w:rPr>
      </w:pPr>
      <w:r>
        <w:rPr>
          <w:rFonts w:ascii="方正黑体_GBK" w:eastAsia="方正黑体_GBK" w:hint="eastAsia"/>
          <w:bCs/>
          <w:sz w:val="32"/>
          <w:szCs w:val="32"/>
        </w:rPr>
        <w:t>业务指引：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wordWrap/>
        <w:spacing w:line="560" w:lineRule="exact"/>
        <w:rPr>
          <w:rFonts w:ascii="方正仿宋_GBK" w:eastAsia="方正仿宋_GBK" w:hint="eastAsia"/>
          <w:sz w:val="32"/>
          <w:szCs w:val="32"/>
        </w:rPr>
      </w:pPr>
      <w:r>
        <w:rPr>
          <w:rFonts w:ascii="方正仿宋_GBK" w:eastAsia="方正仿宋_GBK" w:hint="eastAsia"/>
          <w:b/>
          <w:bCs/>
          <w:sz w:val="32"/>
          <w:szCs w:val="32"/>
        </w:rPr>
        <w:t>一、  </w:t>
      </w:r>
      <w:r>
        <w:rPr>
          <w:rFonts w:ascii="方正仿宋_GBK" w:eastAsia="方正仿宋_GBK" w:hint="eastAsia"/>
          <w:sz w:val="32"/>
          <w:szCs w:val="32"/>
        </w:rPr>
        <w:t>海关实施查验时，跨境电子商务企业或其代理人、跨境电子商务监管作业场所经营人、邮政企业应当按照有关规定提供便利，配合海关查验；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wordWrap/>
        <w:bidi w:val="0"/>
        <w:spacing w:line="560" w:lineRule="exact"/>
        <w:rPr>
          <w:rFonts w:ascii="方正仿宋_GBK" w:eastAsia="方正仿宋_GBK" w:hint="eastAsia"/>
          <w:sz w:val="32"/>
          <w:szCs w:val="32"/>
        </w:rPr>
      </w:pPr>
      <w:r>
        <w:rPr>
          <w:rFonts w:ascii="方正仿宋_GBK" w:eastAsia="方正仿宋_GBK" w:hint="eastAsia"/>
          <w:b/>
          <w:bCs/>
          <w:sz w:val="32"/>
          <w:szCs w:val="32"/>
        </w:rPr>
        <w:t>二、</w:t>
      </w:r>
      <w:r>
        <w:rPr>
          <w:rFonts w:ascii="方正仿宋_GBK" w:eastAsia="方正仿宋_GBK" w:hint="eastAsia"/>
          <w:sz w:val="32"/>
          <w:szCs w:val="32"/>
        </w:rPr>
        <w:t>  现场海关认为必要时，可以对相关商品径行查验；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wordWrap/>
        <w:bidi w:val="0"/>
        <w:spacing w:line="560" w:lineRule="exact"/>
        <w:rPr>
          <w:rFonts w:ascii="方正仿宋_GBK" w:eastAsia="方正仿宋_GBK" w:hint="eastAsia"/>
          <w:sz w:val="32"/>
          <w:szCs w:val="32"/>
        </w:rPr>
      </w:pPr>
      <w:r>
        <w:rPr>
          <w:rFonts w:ascii="方正仿宋_GBK" w:eastAsia="方正仿宋_GBK" w:hint="eastAsia"/>
          <w:b/>
          <w:bCs/>
          <w:sz w:val="32"/>
          <w:szCs w:val="32"/>
        </w:rPr>
        <w:t>三、</w:t>
      </w:r>
      <w:r>
        <w:rPr>
          <w:rFonts w:ascii="方正仿宋_GBK" w:eastAsia="方正仿宋_GBK" w:hint="eastAsia"/>
          <w:sz w:val="32"/>
          <w:szCs w:val="32"/>
        </w:rPr>
        <w:t>跨境电子商务企业不得进出口涉及危害口岸公共卫生安全、生物安全、进出口食品和商品安全、侵犯知识产权的商品以及其他禁限商品。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wordWrap/>
        <w:bidi w:val="0"/>
        <w:rPr>
          <w:rFonts w:ascii="方正仿宋_GBK" w:eastAsia="方正仿宋_GBK"/>
          <w:sz w:val="28"/>
          <w:szCs w:val="28"/>
        </w:rPr>
      </w:pP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wordWrap/>
        <w:bidi w:val="0"/>
        <w:rPr>
          <w:rFonts w:ascii="方正仿宋_GBK" w:eastAsia="方正仿宋_GBK"/>
          <w:sz w:val="28"/>
          <w:szCs w:val="28"/>
        </w:rPr>
      </w:pP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wordWrap/>
        <w:bidi w:val="0"/>
        <w:rPr>
          <w:rFonts w:ascii="方正仿宋_GBK" w:eastAsia="方正仿宋_GBK"/>
          <w:sz w:val="28"/>
          <w:szCs w:val="28"/>
        </w:rPr>
      </w:pP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wordWrap/>
        <w:rPr>
          <w:rFonts w:ascii="方正黑体_GBK" w:eastAsia="方正黑体_GBK" w:hint="eastAsia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流程图示：</w:t>
      </w:r>
      <w:bookmarkStart w:id="0" w:name="_GoBack"/>
      <w:bookmarkEnd w:id="0"/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wordWrap/>
        <w:bidi w:val="0"/>
        <w:rPr>
          <w:rFonts w:ascii="方正仿宋_GBK" w:eastAsia="方正仿宋_GBK"/>
          <w:sz w:val="28"/>
          <w:szCs w:val="28"/>
        </w:rPr>
      </w:pPr>
      <w:r>
        <mc:AlternateContent>
          <mc:Choice Requires="wps">
            <w:drawing>
              <wp:anchor distT="0" distB="0" distL="85723" distR="85723" simplePos="0" relativeHeight="12" behindDoc="0" locked="0" layoutInCell="1" hidden="0" allowOverlap="1">
                <wp:simplePos x="0" y="0"/>
                <wp:positionH relativeFrom="column">
                  <wp:posOffset>500037</wp:posOffset>
                </wp:positionH>
                <wp:positionV relativeFrom="paragraph">
                  <wp:posOffset>321360</wp:posOffset>
                </wp:positionV>
                <wp:extent cx="6532464" cy="3023427"/>
                <wp:effectExtent l="0" t="0" r="0" b="0"/>
                <wp:wrapNone/>
                <wp:docPr id="1" name="组合 1"/>
                <wp:cNvGraphicFramePr>
                  <a:graphicFrameLocks noChangeAspect="0"/>
                </wp:cNvGraphicFramePr>
                <a:graphic>
                  <a:graphicData uri="http://schemas.microsoft.com/office/word/2010/wordprocessingGroup">
                    <wpg:wgp>
                      <wpg:cNvPr id="2" name="组合 2"/>
                      <wpg:cNvGrpSpPr/>
                      <wpg:grpSpPr>
                        <a:xfrm rot="0">
                          <a:off x="0" y="0"/>
                          <a:ext cx="6532464" cy="3023427"/>
                        </a:xfrm>
                        <a:prstGeom prst="rect"/>
                        <a:solidFill>
                          <a:srgbClr val="FFFFFF"/>
                        </a:solidFill>
                        <a:ln w="9525" cmpd="sng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g:grpSpPr>
                      <wps:wsp>
                        <wps:cNvPr id="3" name="文本框 3"/>
                        <wps:cNvSpPr/>
                        <wps:spPr>
                          <a:xfrm rot="0">
                            <a:off x="2223844" y="0"/>
                            <a:ext cx="1025559" cy="341016"/>
                          </a:xfrm>
                          <a:prstGeom prst="rect"/>
                          <a:solidFill>
                            <a:srgbClr val="FFFFFF"/>
                          </a:solidFill>
                          <a:ln w="9525" cmpd="sng" cap="flat">
                            <a:solidFill>
                              <a:srgbClr val="000000"/>
                            </a:solidFill>
                            <a:prstDash val="solid"/>
                            <a:miter/>
                          </a:ln>
                        </wps:spPr>
                        <wps:txbx id="4">
                          <w:txbxContent>
                            <w:p>
                              <w:pPr>
                                <w:ind w:left="0" w:firstLineChars="50" w:firstLine="105"/>
                                <w:jc w:val="left"/>
                              </w:pPr>
                              <w:r>
                                <w:t>未布控查验</w:t>
                              </w:r>
                            </w:p>
                          </w:txbxContent>
                        </wps:txbx>
                        <wps:bodyPr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5" name="组合 5"/>
                        <wpg:cNvGrpSpPr/>
                        <wpg:grpSpPr>
                          <a:xfrm rot="0">
                            <a:off x="0" y="475010"/>
                            <a:ext cx="1798380" cy="1671426"/>
                          </a:xfrm>
                          <a:prstGeom prst="rect"/>
                          <a:solidFill>
                            <a:srgbClr val="FFFFFF"/>
                          </a:solidFill>
                          <a:ln w="9525" cmpd="sng" cap="flat">
                            <a:solidFill>
                              <a:srgbClr val="000000"/>
                            </a:solidFill>
                            <a:prstDash val="solid"/>
                            <a:miter/>
                          </a:ln>
                        </wpg:grpSpPr>
                        <wps:wsp>
                          <wps:cNvPr id="6" name="文本框 6"/>
                          <wps:cNvSpPr/>
                          <wps:spPr>
                            <a:xfrm rot="0">
                              <a:off x="1188760" y="158125"/>
                              <a:ext cx="609620" cy="1331044"/>
                            </a:xfrm>
                            <a:prstGeom prst="rect"/>
                            <a:solidFill>
                              <a:srgbClr val="FFFFFF"/>
                            </a:solidFill>
                            <a:ln w="9525" cmpd="sng" cap="flat">
                              <a:solidFill>
                                <a:srgbClr val="000000"/>
                              </a:solidFill>
                              <a:prstDash val="solid"/>
                              <a:miter/>
                            </a:ln>
                          </wps:spPr>
                          <wps:txbx id="7">
                            <w:txbxContent>
                              <w:p>
                                <w:pPr>
                                  <w:jc w:val="center"/>
                                </w:pPr>
                              </w:p>
                              <w:p>
                                <w:r>
                                  <w:t>跨境电商出口统一版系统</w:t>
                                </w:r>
                              </w:p>
                            </w:txbxContent>
                          </wps:txbx>
                          <wps:bodyPr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" name="文本框 8"/>
                          <wps:cNvSpPr/>
                          <wps:spPr>
                            <a:xfrm rot="0">
                              <a:off x="0" y="0"/>
                              <a:ext cx="546753" cy="1671426"/>
                            </a:xfrm>
                            <a:prstGeom prst="rect"/>
                            <a:solidFill>
                              <a:srgbClr val="FFFFFF"/>
                            </a:solidFill>
                            <a:ln w="9525" cmpd="sng" cap="flat">
                              <a:solidFill>
                                <a:srgbClr val="000000"/>
                              </a:solidFill>
                              <a:prstDash val="solid"/>
                              <a:miter/>
                            </a:ln>
                          </wps:spPr>
                          <wps:txbx id="9">
                            <w:txbxContent>
                              <w:p>
                                <w:pPr>
                                  <w:jc w:val="center"/>
                                </w:pPr>
                                <w:r>
                                  <w:rPr>
                                    <w:rFonts w:hint="eastAsia"/>
                                  </w:rPr>
                                  <w:t>跨境电商出口货物</w:t>
                                </w:r>
                                <w:r>
                                  <w:t>抵达监管作业场所</w:t>
                                </w:r>
                              </w:p>
                            </w:txbxContent>
                          </wps:txbx>
                          <wps:bodyPr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" name="直线 10"/>
                          <wps:cNvSpPr/>
                          <wps:spPr>
                            <a:xfrm flipV="1" rot="21600000">
                              <a:off x="716123" y="695409"/>
                              <a:ext cx="367626" cy="0"/>
                            </a:xfrm>
                            <a:prstGeom prst="line"/>
                            <a:noFill/>
                            <a:ln w="9525" cmpd="sng" cap="flat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tailEnd type="triangle" w="med" len="med"/>
                            </a:ln>
                          </wps:spPr>
                          <wps:bodyPr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1" name="文本框 11"/>
                        <wps:cNvSpPr/>
                        <wps:spPr>
                          <a:xfrm rot="0">
                            <a:off x="4392442" y="910013"/>
                            <a:ext cx="1137958" cy="346097"/>
                          </a:xfrm>
                          <a:prstGeom prst="rect"/>
                          <a:noFill/>
                          <a:ln w="9525" cmpd="sng" cap="flat">
                            <a:solidFill>
                              <a:srgbClr val="000000"/>
                            </a:solidFill>
                            <a:prstDash val="solid"/>
                            <a:miter/>
                          </a:ln>
                        </wps:spPr>
                        <wps:txbx id="12">
                          <w:txbxContent>
                            <w:p>
                              <w:pPr>
                                <w:pBdr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</w:pBdr>
                                <w:wordWrap/>
                                <w:jc w:val="center"/>
                              </w:pPr>
                              <w:r>
                                <w:t>H2000系统转关</w:t>
                              </w:r>
                            </w:p>
                          </w:txbxContent>
                        </wps:txbx>
                        <wps:bodyPr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肘形连接线 13"/>
                        <wps:cNvSpPr/>
                        <wps:spPr>
                          <a:xfrm flipV="1" rot="21600000">
                            <a:off x="1493570" y="198767"/>
                            <a:ext cx="697888" cy="434367"/>
                          </a:xfrm>
                          <a:prstGeom prst="bentConnector3"/>
                          <a:noFill/>
                          <a:ln w="9525" cmpd="sng" cap="flat">
                            <a:solidFill>
                              <a:srgbClr val="000000"/>
                            </a:solidFill>
                            <a:prstDash val="solid"/>
                            <a:miter/>
                          </a:ln>
                        </wps:spPr>
                        <wps:bodyPr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文本框 14"/>
                        <wps:cNvSpPr/>
                        <wps:spPr>
                          <a:xfrm rot="0">
                            <a:off x="3496427" y="1936873"/>
                            <a:ext cx="989363" cy="280687"/>
                          </a:xfrm>
                          <a:prstGeom prst="rect"/>
                          <a:solidFill>
                            <a:srgbClr val="FFFFFF"/>
                          </a:solidFill>
                          <a:ln w="9525" cmpd="sng" cap="flat">
                            <a:solidFill>
                              <a:srgbClr val="000000"/>
                            </a:solidFill>
                            <a:prstDash val="solid"/>
                            <a:miter/>
                          </a:ln>
                        </wps:spPr>
                        <wps:txbx id="15">
                          <w:txbxContent>
                            <w:p>
                              <w:pPr>
                                <w:jc w:val="center"/>
                              </w:pPr>
                              <w:r>
                                <w:t>未发现异常</w:t>
                              </w:r>
                            </w:p>
                          </w:txbxContent>
                        </wps:txbx>
                        <wps:bodyPr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文本框 16"/>
                        <wps:cNvSpPr/>
                        <wps:spPr>
                          <a:xfrm rot="0">
                            <a:off x="3573264" y="2723688"/>
                            <a:ext cx="870614" cy="276242"/>
                          </a:xfrm>
                          <a:prstGeom prst="rect"/>
                          <a:solidFill>
                            <a:srgbClr val="FFFFFF"/>
                          </a:solidFill>
                          <a:ln w="9525" cmpd="sng" cap="flat">
                            <a:solidFill>
                              <a:srgbClr val="000000"/>
                            </a:solidFill>
                            <a:prstDash val="solid"/>
                            <a:miter/>
                          </a:ln>
                        </wps:spPr>
                        <wps:txbx id="17">
                          <w:txbxContent>
                            <w:p>
                              <w:pPr>
                                <w:jc w:val="center"/>
                              </w:pPr>
                              <w:r>
                                <w:t>发现异常</w:t>
                              </w:r>
                            </w:p>
                          </w:txbxContent>
                        </wps:txbx>
                        <wps:bodyPr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文本框 18"/>
                        <wps:cNvSpPr/>
                        <wps:spPr>
                          <a:xfrm flipH="1" rot="21600000">
                            <a:off x="5222415" y="2712892"/>
                            <a:ext cx="879504" cy="310535"/>
                          </a:xfrm>
                          <a:prstGeom prst="rect"/>
                          <a:solidFill>
                            <a:srgbClr val="FFFFFF"/>
                          </a:solidFill>
                          <a:ln w="9525" cmpd="sng" cap="flat">
                            <a:solidFill>
                              <a:srgbClr val="000000"/>
                            </a:solidFill>
                            <a:prstDash val="solid"/>
                            <a:miter/>
                          </a:ln>
                        </wps:spPr>
                        <wps:txbx id="19">
                          <w:txbxContent>
                            <w:p>
                              <w:pPr>
                                <w:jc w:val="center"/>
                              </w:pPr>
                              <w:r>
                                <w:t>后续处置</w:t>
                              </w:r>
                            </w:p>
                          </w:txbxContent>
                        </wps:txbx>
                        <wps:bodyPr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文本框 20"/>
                        <wps:cNvSpPr/>
                        <wps:spPr>
                          <a:xfrm rot="0">
                            <a:off x="5991426" y="910647"/>
                            <a:ext cx="541037" cy="351177"/>
                          </a:xfrm>
                          <a:prstGeom prst="rect"/>
                          <a:solidFill>
                            <a:srgbClr val="FFFFFF"/>
                          </a:solidFill>
                          <a:ln w="9525" cmpd="sng" cap="flat">
                            <a:solidFill>
                              <a:srgbClr val="000000"/>
                            </a:solidFill>
                            <a:prstDash val="solid"/>
                            <a:miter/>
                          </a:ln>
                        </wps:spPr>
                        <wps:txbx id="21">
                          <w:txbxContent>
                            <w:p>
                              <w:pPr>
                                <w:jc w:val="center"/>
                              </w:pPr>
                              <w:r>
                                <w:t>放行</w:t>
                              </w:r>
                            </w:p>
                          </w:txbxContent>
                        </wps:txbx>
                        <wps:bodyPr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文本框 22"/>
                        <wps:cNvSpPr/>
                        <wps:spPr>
                          <a:xfrm rot="0">
                            <a:off x="2321003" y="2242327"/>
                            <a:ext cx="960152" cy="354352"/>
                          </a:xfrm>
                          <a:prstGeom prst="rect"/>
                          <a:solidFill>
                            <a:srgbClr val="FFFFFF"/>
                          </a:solidFill>
                          <a:ln w="9525" cmpd="sng" cap="flat">
                            <a:solidFill>
                              <a:srgbClr val="000000"/>
                            </a:solidFill>
                            <a:prstDash val="solid"/>
                            <a:miter/>
                          </a:ln>
                        </wps:spPr>
                        <wps:txbx id="23">
                          <w:txbxContent>
                            <w:p>
                              <w:pPr>
                                <w:ind w:left="0"/>
                                <w:jc w:val="center"/>
                              </w:pPr>
                              <w:r>
                                <w:t>布控查验</w:t>
                              </w:r>
                            </w:p>
                          </w:txbxContent>
                        </wps:txbx>
                        <wps:bodyPr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肘形连接线 24"/>
                        <wps:cNvSpPr/>
                        <wps:spPr>
                          <a:xfrm flipV="1" rot="21600000">
                            <a:off x="2685822" y="2045147"/>
                            <a:ext cx="793141" cy="198132"/>
                          </a:xfrm>
                          <a:prstGeom prst="bentConnector2"/>
                          <a:noFill/>
                          <a:ln w="9525" cmpd="sng" cap="flat">
                            <a:solidFill>
                              <a:srgbClr val="000000"/>
                            </a:solidFill>
                            <a:prstDash val="solid"/>
                            <a:miter/>
                          </a:ln>
                        </wps:spPr>
                        <wps:bodyPr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肘形连接线 25"/>
                        <wps:cNvSpPr/>
                        <wps:spPr>
                          <a:xfrm rot="0">
                            <a:off x="2714081" y="2646848"/>
                            <a:ext cx="871884" cy="232424"/>
                          </a:xfrm>
                          <a:prstGeom prst="bentConnector3"/>
                          <a:noFill/>
                          <a:ln w="9525" cmpd="sng" cap="flat">
                            <a:solidFill>
                              <a:srgbClr val="000000"/>
                            </a:solidFill>
                            <a:prstDash val="solid"/>
                            <a:miter/>
                          </a:ln>
                        </wps:spPr>
                        <wps:bodyPr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直线 26"/>
                        <wps:cNvSpPr/>
                        <wps:spPr>
                          <a:xfrm rot="0">
                            <a:off x="4452170" y="2877523"/>
                            <a:ext cx="750926" cy="0"/>
                          </a:xfrm>
                          <a:prstGeom prst="line"/>
                          <a:noFill/>
                          <a:ln w="9525" cmpd="sng" cap="flat">
                            <a:solidFill>
                              <a:srgbClr val="000000"/>
                            </a:solidFill>
                            <a:prstDash val="solid"/>
                            <a:miter/>
                            <a:tailEnd type="triangle" w="med" len="med"/>
                          </a:ln>
                        </wps:spPr>
                        <wps:bodyPr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直线 27"/>
                        <wps:cNvSpPr/>
                        <wps:spPr>
                          <a:xfrm flipV="1" rot="21600000">
                            <a:off x="5530153" y="1068332"/>
                            <a:ext cx="419107" cy="0"/>
                          </a:xfrm>
                          <a:prstGeom prst="line"/>
                          <a:noFill/>
                          <a:ln w="9525" cmpd="sng" cap="flat">
                            <a:solidFill>
                              <a:srgbClr val="000000"/>
                            </a:solidFill>
                            <a:prstDash val="solid"/>
                            <a:miter/>
                            <a:tailEnd type="triangle" w="med" len="med"/>
                          </a:ln>
                        </wps:spPr>
                        <wps:bodyPr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肘形连接线 28"/>
                        <wps:cNvSpPr/>
                        <wps:spPr>
                          <a:xfrm flipV="1" rot="21600000">
                            <a:off x="4486425" y="1256109"/>
                            <a:ext cx="475630" cy="821107"/>
                          </a:xfrm>
                          <a:prstGeom prst="bentConnector2"/>
                          <a:noFill/>
                          <a:ln w="9525" cmpd="sng" cap="flat">
                            <a:solidFill>
                              <a:srgbClr val="000000"/>
                            </a:solidFill>
                            <a:prstDash val="solid"/>
                            <a:miter/>
                            <a:tailEnd type="triangle" w="med" len="sm"/>
                          </a:ln>
                        </wps:spPr>
                        <wps:bodyPr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肘形连接线 29"/>
                        <wps:cNvSpPr/>
                        <wps:spPr>
                          <a:xfrm rot="0">
                            <a:off x="3249404" y="170190"/>
                            <a:ext cx="1712652" cy="739822"/>
                          </a:xfrm>
                          <a:prstGeom prst="bentConnector2"/>
                          <a:noFill/>
                          <a:ln w="9525" cmpd="sng" cap="flat">
                            <a:solidFill>
                              <a:srgbClr val="000000"/>
                            </a:solidFill>
                            <a:prstDash val="solid"/>
                            <a:miter/>
                            <a:tailEnd type="triangle" w="med" len="sm"/>
                          </a:ln>
                        </wps:spPr>
                        <wps:bodyPr vert="horz" wrap="square" lIns="91440" tIns="45720" rIns="91440" bIns="45720" anchor="t" anchorCtr="0" upright="1">
                          <a:noAutofit/>
                        </wps:bodyPr>
                      </wps:wsp>
                      <wps:bodyPr vert="horz" wrap="square" lIns="91440" tIns="45720" rIns="91440" bIns="45720" anchor="t" anchorCtr="0" upright="1">
                        <a:noAutofit/>
                      </wps:bodyPr>
                    </wpg:wgp>
                  </a:graphicData>
                </a:graphic>
              </wp:anchor>
            </w:drawing>
          </mc:Choice>
          <mc:Fallback>
            <w:pict>
              <v:group type="#_x0000_t1" id="组合 30" o:spid="_x0000_s30" coordorigin="2227,2930" coordsize="10287,4761" style="position:absolute;margin-left:39.373016pt;margin-top:25.30399pt;width:514.36725pt;height:238.06516pt;z-index:12;mso-position-horizontal:absolute;mso-position-vertical:absolute;mso-wrap-distance-left:6.749897pt;mso-wrap-distance-right:6.749897pt;">
                <v:shape type="#_x0000_t202" id="文本框 31" o:spid="_x0000_s31" style="position:absolute;left:5729;top:2930;width:1615;height:537;mso-wrap-style:square;" fillcolor="#FFFFFF" stroked="t">
                  <v:textbox id="848" inset="2.54mm,1.27mm,2.54mm,1.27mm" o:insetmode="custom" style="layout-flow:horizontal;v-text-anchor:top;">
                    <w:txbxContent>
                      <w:p>
                        <w:pPr>
                          <w:ind w:left="0" w:firstLineChars="50" w:firstLine="105"/>
                          <w:jc w:val="left"/>
                        </w:pPr>
                        <w:r>
                          <w:t>未布控查验</w:t>
                        </w:r>
                      </w:p>
                    </w:txbxContent>
                  </v:textbox>
                  <v:stroke color="#000000"/>
                </v:shape>
                <v:group type="#_x0000_t1" id="组合 32" o:spid="_x0000_s32" coordorigin="2227,3678" coordsize="2832,2632" style="position:absolute;left:2227;top:3678;width:2832;height:2632;">
                  <v:shape type="#_x0000_t202" id="文本框 33" o:spid="_x0000_s33" style="position:absolute;left:4099;top:3927;width:960;height:2096;mso-wrap-style:square;" fillcolor="#FFFFFF" stroked="t">
                    <v:textbox id="849" inset="2.54mm,1.27mm,2.54mm,1.27mm" o:insetmode="custom" style="layout-flow:horizontal;v-text-anchor:top;">
                      <w:txbxContent>
                        <w:p>
                          <w:pPr>
                            <w:jc w:val="center"/>
                          </w:pPr>
                        </w:p>
                        <w:p>
                          <w:r>
                            <w:t>跨境电商出口统一版系统</w:t>
                          </w:r>
                        </w:p>
                      </w:txbxContent>
                    </v:textbox>
                    <v:stroke color="#000000"/>
                  </v:shape>
                  <v:shape type="#_x0000_t202" id="文本框 34" o:spid="_x0000_s34" style="position:absolute;left:2227;top:3678;width:861;height:2632;mso-wrap-style:square;" fillcolor="#FFFFFF" stroked="t">
                    <v:textbox id="850" inset="2.54mm,1.27mm,2.54mm,1.27mm" o:insetmode="custom" style="layout-flow:horizontal;v-text-anchor:top;">
                      <w:txbxContent>
                        <w:p>
                          <w:pPr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跨境电商出口货物</w:t>
                          </w:r>
                          <w:r>
                            <w:t>抵达监管作业场所</w:t>
                          </w:r>
                        </w:p>
                      </w:txbxContent>
                    </v:textbox>
                    <v:stroke color="#000000"/>
                  </v:shape>
                  <v:line type="#_x0000_t20" id="直线 35" o:spid="_x0000_s35" style="position:absolute;flip:y;" from="3355.2139,4773.26" to="3934.153,4773.26" filled="f" stroked="t">
                    <v:stroke color="#000000" endarrow="block"/>
                  </v:line>
                </v:group>
                <v:shape type="#_x0000_t202" id="文本框 36" o:spid="_x0000_s36" style="position:absolute;left:9144;top:4363;width:1792;height:545;mso-wrap-style:square;" filled="f" stroked="t">
                  <v:textbox id="851" inset="2.54mm,1.27mm,2.54mm,1.27mm" o:insetmode="custom" style="layout-flow:horizontal;v-text-anchor:top;">
                    <w:txbxContent>
                      <w:p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pBdr>
                          <w:wordWrap/>
                          <w:jc w:val="center"/>
                        </w:pPr>
                        <w:r>
                          <w:t>H2000系统转关</w:t>
                        </w:r>
                      </w:p>
                    </w:txbxContent>
                  </v:textbox>
                  <v:stroke color="#000000"/>
                </v:shape>
                <v:shape type="#_x0000_t34" id="肘形连接线 37" o:spid="_x0000_s37" style="position:absolute;left:4579;top:3243;width:1099;height:684;flip:y;" filled="f" stroked="t" adj="-331">
                  <v:stroke color="#000000"/>
                </v:shape>
                <v:shape type="#_x0000_t202" id="文本框 38" o:spid="_x0000_s38" style="position:absolute;left:7733;top:5980;width:1558;height:442;mso-wrap-style:square;" fillcolor="#FFFFFF" stroked="t">
                  <v:textbox id="852" inset="2.54mm,1.27mm,2.54mm,1.27mm" o:insetmode="custom" style="layout-flow:horizontal;v-text-anchor:top;">
                    <w:txbxContent>
                      <w:p>
                        <w:pPr>
                          <w:jc w:val="center"/>
                        </w:pPr>
                        <w:r>
                          <w:t>未发现异常</w:t>
                        </w:r>
                      </w:p>
                    </w:txbxContent>
                  </v:textbox>
                  <v:stroke color="#000000"/>
                </v:shape>
                <v:shape type="#_x0000_t202" id="文本框 39" o:spid="_x0000_s39" style="position:absolute;left:7854;top:7219;width:1371;height:435;mso-wrap-style:square;" fillcolor="#FFFFFF" stroked="t">
                  <v:textbox id="853" inset="2.54mm,1.27mm,2.54mm,1.27mm" o:insetmode="custom" style="layout-flow:horizontal;v-text-anchor:top;">
                    <w:txbxContent>
                      <w:p>
                        <w:pPr>
                          <w:jc w:val="center"/>
                        </w:pPr>
                        <w:r>
                          <w:t>发现异常</w:t>
                        </w:r>
                      </w:p>
                    </w:txbxContent>
                  </v:textbox>
                  <v:stroke color="#000000"/>
                </v:shape>
                <v:shape type="#_x0000_t202" id="文本框 40" o:spid="_x0000_s40" style="position:absolute;left:10451;top:7202;width:1385;height:489;flip:x;mso-wrap-style:square;" fillcolor="#FFFFFF" stroked="t">
                  <v:textbox id="854" inset="2.54mm,1.27mm,2.54mm,1.27mm" o:insetmode="custom" style="layout-flow:horizontal;v-text-anchor:top;">
                    <w:txbxContent>
                      <w:p>
                        <w:pPr>
                          <w:jc w:val="center"/>
                        </w:pPr>
                        <w:r>
                          <w:t>后续处置</w:t>
                        </w:r>
                      </w:p>
                    </w:txbxContent>
                  </v:textbox>
                  <v:stroke color="#000000"/>
                </v:shape>
                <v:shape type="#_x0000_t202" id="文本框 41" o:spid="_x0000_s41" style="position:absolute;left:11662;top:4364;width:852;height:553;mso-wrap-style:square;" fillcolor="#FFFFFF" stroked="t">
                  <v:textbox id="855" inset="2.54mm,1.27mm,2.54mm,1.27mm" o:insetmode="custom" style="layout-flow:horizontal;v-text-anchor:top;">
                    <w:txbxContent>
                      <w:p>
                        <w:pPr>
                          <w:jc w:val="center"/>
                        </w:pPr>
                        <w:r>
                          <w:t>放行</w:t>
                        </w:r>
                      </w:p>
                    </w:txbxContent>
                  </v:textbox>
                  <v:stroke color="#000000"/>
                </v:shape>
                <v:shape type="#_x0000_t202" id="文本框 42" o:spid="_x0000_s42" style="position:absolute;left:5882;top:6461;width:1512;height:558;mso-wrap-style:square;" fillcolor="#FFFFFF" stroked="t">
                  <v:textbox id="856" inset="2.54mm,1.27mm,2.54mm,1.27mm" o:insetmode="custom" style="layout-flow:horizontal;v-text-anchor:top;">
                    <w:txbxContent>
                      <w:p>
                        <w:pPr>
                          <w:ind w:left="0"/>
                          <w:jc w:val="center"/>
                        </w:pPr>
                        <w:r>
                          <w:t>布控查验</w:t>
                        </w:r>
                      </w:p>
                    </w:txbxContent>
                  </v:textbox>
                  <v:stroke color="#000000"/>
                </v:shape>
                <v:shape type="#_x0000_t33" id="肘形连接线 43" o:spid="_x0000_s43" style="position:absolute;left:6925;top:5682;width:312;height:1249;rotation:270.0;" filled="f" stroked="t">
                  <v:stroke color="#000000"/>
                </v:shape>
                <v:shape type="#_x0000_t34" id="肘形连接线 44" o:spid="_x0000_s44" style="position:absolute;left:6501;top:7098;width:1373;height:366;" filled="f" stroked="t" adj="-264">
                  <v:stroke color="#000000"/>
                </v:shape>
                <v:line type="#_x0000_t20" id="直线 45" o:spid="_x0000_s45" style="position:absolute;" from="9238.752,7461.612" to="10421.313,7461.612" filled="f" stroked="t">
                  <v:stroke color="#000000" endarrow="block"/>
                </v:line>
                <v:line type="#_x0000_t20" id="直线 46" o:spid="_x0000_s46" style="position:absolute;flip:y;" from="10936.363,4612.493" to="11596.376,4612.493" filled="f" stroked="t">
                  <v:stroke color="#000000" endarrow="block"/>
                </v:line>
                <v:shape type="#_x0000_t33" id="肘形连接线 47" o:spid="_x0000_s47" style="position:absolute;left:9292;top:4908;width:749;height:1293;flip:y;" filled="f" stroked="t">
                  <v:stroke color="#000000" endarrow="block" endarrowlength="short"/>
                </v:shape>
                <v:shape type="#_x0000_t33" id="肘形连接线 48" o:spid="_x0000_s48" style="position:absolute;left:7344;top:3198;width:2697;height:1165;" filled="f" stroked="t">
                  <v:stroke color="#000000" endarrow="block" endarrowlength="short"/>
                </v:shape>
              </v:group>
            </w:pict>
          </mc:Fallback>
        </mc:AlternateConten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wordWrap/>
        <w:bidi w:val="0"/>
        <w:rPr>
          <w:rFonts w:ascii="方正仿宋_GBK" w:eastAsia="方正仿宋_GBK"/>
          <w:sz w:val="28"/>
          <w:szCs w:val="28"/>
        </w:rPr>
      </w:pP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wordWrap/>
        <w:bidi w:val="0"/>
        <w:rPr>
          <w:rFonts w:ascii="方正仿宋_GBK" w:eastAsia="方正仿宋_GBK" w:hint="eastAsia"/>
          <w:sz w:val="28"/>
          <w:szCs w:val="28"/>
        </w:rPr>
      </w:pPr>
      <w:r>
        <mc:AlternateContent>
          <mc:Choice Requires="wps">
            <w:drawing>
              <wp:anchor distT="0" distB="0" distL="85723" distR="85723" simplePos="0" relativeHeight="11" behindDoc="0" locked="0" layoutInCell="1" hidden="0" allowOverlap="1">
                <wp:simplePos x="0" y="0"/>
                <wp:positionH relativeFrom="column">
                  <wp:posOffset>1993758</wp:posOffset>
                </wp:positionH>
                <wp:positionV relativeFrom="paragraph">
                  <wp:posOffset>1493390</wp:posOffset>
                </wp:positionV>
                <wp:extent cx="700173" cy="432498"/>
                <wp:effectExtent l="0" t="0" r="0" b="0"/>
                <wp:wrapNone/>
                <wp:docPr id="49" name="肘形连接线 49"/>
                <wp:cNvGraphicFramePr>
                  <a:graphicFrameLocks noChangeAspect="0"/>
                </wp:cNvGraphicFramePr>
                <a:graphic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700173" cy="432498"/>
                        </a:xfrm>
                        <a:prstGeom prst="bentConnector2"/>
                        <a:noFill/>
                        <a:ln w="9525" cmpd="sng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type="#_x0000_t33" id="肘形连接线 50" o:spid="_x0000_s50" filled="f" stroked="t" style="position:absolute;margin-left:167.52725pt;margin-top:107.05139pt;width:34.055023pt;height:55.13179pt;rotation:90.0;flip:x;z-index:11;mso-position-horizontal:absolute;mso-position-vertical:absolute;mso-wrap-distance-left:6.749897pt;mso-wrap-distance-right:6.749897pt;">
                <v:stroke color="#000000"/>
              </v:shape>
            </w:pict>
          </mc:Fallback>
        </mc:AlternateConten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wordWrap/>
        <w:bidi w:val="0"/>
        <w:rPr>
          <w:rFonts w:ascii="方正仿宋_GBK" w:eastAsia="方正仿宋_GBK"/>
          <w:sz w:val="28"/>
          <w:szCs w:val="28"/>
        </w:rPr>
      </w:pP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wordWrap/>
        <w:bidi w:val="0"/>
        <w:rPr>
          <w:rFonts w:ascii="方正仿宋_GBK" w:eastAsia="方正仿宋_GBK" w:hint="eastAsia"/>
          <w:sz w:val="28"/>
          <w:szCs w:val="28"/>
        </w:rPr>
      </w:pP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wordWrap/>
        <w:bidi w:val="0"/>
        <w:rPr>
          <w:rFonts w:ascii="方正仿宋_GBK" w:eastAsia="方正仿宋_GBK" w:hint="eastAsia"/>
          <w:sz w:val="28"/>
          <w:szCs w:val="28"/>
        </w:rPr>
      </w:pPr>
    </w:p>
    <w:p>
      <w:pPr>
        <w:rPr>
          <w:rFonts w:eastAsia="方正仿宋_GBK"/>
          <w:sz w:val="28"/>
          <w:szCs w:val="28"/>
        </w:rPr>
      </w:pPr>
    </w:p>
    <w:p>
      <w:pPr>
        <w:rPr>
          <w:rFonts w:eastAsia="方正仿宋_GBK"/>
          <w:sz w:val="28"/>
          <w:szCs w:val="28"/>
        </w:rPr>
      </w:pPr>
    </w:p>
    <w:p>
      <w:pPr>
        <w:rPr>
          <w:rFonts w:eastAsia="方正仿宋_GBK" w:hint="eastAsia"/>
          <w:sz w:val="28"/>
          <w:szCs w:val="28"/>
        </w:rPr>
      </w:pPr>
    </w:p>
    <w:sectPr>
      <w:pgSz w:w="16838" w:h="11906" w:orient="landscape"/>
      <w:pgMar w:top="1800" w:right="1440" w:bottom="1800" w:left="1440" w:header="851" w:footer="992" w:gutter="0"/>
      <w:pgNumType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altName w:val="Times New Roman"/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Luxi Sans">
    <w:altName w:val="Times New Roman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黑体">
    <w:altName w:val="方正黑体_GBK"/>
    <w:panose1 w:val="00000000000000000000"/>
    <w:charset w:val="00"/>
    <w:family w:val="auto"/>
    <w:pitch w:val="variable"/>
    <w:sig w:usb0="00000000" w:usb1="00000000" w:usb2="00000000" w:usb3="00000000" w:csb0="00000000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bordersDoNotSurroundHeader/>
  <w:bordersDoNotSurroundFooter/>
  <w:defaultTabStop w:val="420"/>
  <w:drawingGridHorizontalSpacing w:val="18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doNotUseIndentAsNumberingTabStop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Luxi Sans" w:eastAsia="黑体" w:hAnsi="Luxi Sans"/>
      <w:b/>
      <w:sz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envelope return"/>
    <w:basedOn w:val="0"/>
    <w:pPr>
      <w:snapToGrid w:val="0"/>
    </w:pPr>
    <w:rPr>
      <w:rFonts w:ascii="Luxi Sans" w:hAnsi="Luxi Sans"/>
    </w:rPr>
  </w:style>
  <w:style w:type="paragraph" w:customStyle="1" w:styleId="16">
    <w:name w:val="样式 5 10 磅"/>
    <w:pPr>
      <w:widowControl w:val="0"/>
      <w:jc w:val="both"/>
    </w:pPr>
    <w:rPr>
      <w:rFonts w:ascii="Calibri" w:eastAsia="宋体" w:cs="Times New Roman" w:hAnsi="Calibri"/>
      <w:kern w:val="2"/>
      <w:sz w:val="21"/>
      <w:szCs w:val="24"/>
      <w:lang w:val="en-US" w:eastAsia="zh-CN" w:bidi="ar-SA"/>
    </w:rPr>
  </w:style>
  <w:style w:type="paragraph" w:customStyle="1" w:styleId="17">
    <w:name w:val="样式 10 磅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189</TotalTime>
  <Application>Yozo_Office</Application>
  <Pages>2</Pages>
  <Words>248</Words>
  <Characters>248</Characters>
  <Lines>23</Lines>
  <Paragraphs>10</Paragraphs>
  <CharactersWithSpaces>290</CharactersWithSpaces>
  <Company>Yozosoft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Cynthia</dc:creator>
  <cp:lastModifiedBy>王玉玲</cp:lastModifiedBy>
  <cp:revision>2</cp:revision>
  <dcterms:created xsi:type="dcterms:W3CDTF">2017-11-20T02:14:00Z</dcterms:created>
  <dcterms:modified xsi:type="dcterms:W3CDTF">2023-04-27T02:28:24Z</dcterms:modified>
</cp:coreProperties>
</file>