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6"/>
        <w:tabs>
          <w:tab w:val="left" w:pos="0"/>
        </w:tabs>
        <w:autoSpaceDN w:val="0"/>
        <w:adjustRightInd w:val="0"/>
        <w:snapToGrid w:val="0"/>
        <w:spacing w:line="560" w:lineRule="exact"/>
        <w:ind w:left="0"/>
        <w:rPr>
          <w:rFonts w:ascii="方正黑体_GBK" w:eastAsia="方正黑体_GBK" w:cs="方正小标宋_GBK" w:hint="eastAsia"/>
          <w:szCs w:val="32"/>
        </w:rPr>
      </w:pPr>
      <w:bookmarkStart w:id="0" w:name="_GoBack"/>
      <w:bookmarkEnd w:id="0"/>
      <w:r>
        <w:rPr>
          <w:rFonts w:ascii="方正黑体_GBK" w:eastAsia="方正黑体_GBK" w:cs="方正小标宋_GBK" w:hint="eastAsia"/>
          <w:szCs w:val="32"/>
        </w:rPr>
        <w:t>附件</w:t>
      </w:r>
    </w:p>
    <w:p>
      <w:pPr>
        <w:pStyle w:val="16"/>
        <w:tabs>
          <w:tab w:val="left" w:pos="0"/>
        </w:tabs>
        <w:autoSpaceDN w:val="0"/>
        <w:adjustRightInd w:val="0"/>
        <w:snapToGrid w:val="0"/>
        <w:spacing w:line="560" w:lineRule="exact"/>
        <w:ind w:left="0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保税仓库、出口监管仓库设置规范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</w:p>
    <w:p>
      <w:pPr>
        <w:pStyle w:val="16"/>
        <w:autoSpaceDN w:val="0"/>
        <w:adjustRightInd w:val="0"/>
        <w:snapToGrid w:val="0"/>
        <w:ind w:firstLineChars="200" w:firstLine="624"/>
        <w:rPr>
          <w:szCs w:val="32"/>
        </w:rPr>
      </w:pPr>
      <w:r>
        <w:rPr>
          <w:rFonts w:hint="eastAsia"/>
          <w:szCs w:val="32"/>
        </w:rPr>
        <w:t>本</w:t>
      </w:r>
      <w:r>
        <w:rPr>
          <w:szCs w:val="32"/>
        </w:rPr>
        <w:t>规范</w:t>
      </w:r>
      <w:r>
        <w:rPr>
          <w:rFonts w:hint="eastAsia"/>
          <w:szCs w:val="32"/>
        </w:rPr>
        <w:t>适用于保税</w:t>
      </w:r>
      <w:r>
        <w:rPr>
          <w:szCs w:val="32"/>
        </w:rPr>
        <w:t>仓库、出口监管</w:t>
      </w:r>
      <w:r>
        <w:rPr>
          <w:rFonts w:hint="eastAsia"/>
          <w:szCs w:val="32"/>
        </w:rPr>
        <w:t>仓库</w:t>
      </w:r>
      <w:r>
        <w:rPr>
          <w:szCs w:val="32"/>
        </w:rPr>
        <w:t>（以下统称</w:t>
      </w:r>
      <w:r>
        <w:rPr>
          <w:rFonts w:ascii="方正仿宋_GBK" w:hint="eastAsia"/>
          <w:szCs w:val="32"/>
        </w:rPr>
        <w:t>“两仓”</w:t>
      </w:r>
      <w:r>
        <w:rPr>
          <w:szCs w:val="32"/>
        </w:rPr>
        <w:t>）</w:t>
      </w:r>
      <w:r>
        <w:rPr>
          <w:rFonts w:hint="eastAsia"/>
          <w:szCs w:val="32"/>
        </w:rPr>
        <w:t>设置。海关实施本</w:t>
      </w:r>
      <w:r>
        <w:rPr>
          <w:szCs w:val="32"/>
        </w:rPr>
        <w:t>规范</w:t>
      </w:r>
      <w:r>
        <w:rPr>
          <w:rFonts w:hint="eastAsia"/>
          <w:szCs w:val="32"/>
        </w:rPr>
        <w:t>不妨碍其他部门依法履行其职责。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一、面积容积</w:t>
      </w:r>
      <w:r>
        <w:rPr>
          <w:rFonts w:ascii="方正黑体_GBK" w:eastAsia="方正黑体_GBK"/>
          <w:szCs w:val="32"/>
        </w:rPr>
        <w:t>标准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Fonts w:ascii="方正楷体_GBK" w:eastAsia="方正楷体_GBK" w:cs="方正楷体_GBK" w:hint="eastAsia"/>
          <w:b/>
          <w:bCs/>
          <w:szCs w:val="32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（一）保税仓库。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Style w:val="16Char"/>
          <w:szCs w:val="32"/>
        </w:rPr>
      </w:pPr>
      <w:r>
        <w:rPr>
          <w:szCs w:val="32"/>
        </w:rPr>
        <w:t>1.</w:t>
      </w:r>
      <w:r>
        <w:rPr>
          <w:rFonts w:hint="eastAsia"/>
          <w:szCs w:val="32"/>
        </w:rPr>
        <w:t>公用保税仓库面积</w:t>
      </w:r>
      <w:r>
        <w:rPr>
          <w:szCs w:val="32"/>
        </w:rPr>
        <w:t>不得</w:t>
      </w:r>
      <w:r>
        <w:rPr>
          <w:rFonts w:hint="eastAsia"/>
          <w:szCs w:val="32"/>
        </w:rPr>
        <w:t>低</w:t>
      </w:r>
      <w:r>
        <w:rPr>
          <w:szCs w:val="32"/>
        </w:rPr>
        <w:t>于</w:t>
      </w:r>
      <w:r>
        <w:rPr>
          <w:rStyle w:val="16Char"/>
          <w:szCs w:val="32"/>
        </w:rPr>
        <w:t>2000平方米；</w:t>
      </w:r>
      <w:r>
        <w:rPr>
          <w:rStyle w:val="16Char"/>
          <w:rFonts w:hint="eastAsia"/>
          <w:szCs w:val="32"/>
        </w:rPr>
        <w:t>仓库</w:t>
      </w:r>
      <w:r>
        <w:rPr>
          <w:rStyle w:val="16Char"/>
          <w:szCs w:val="32"/>
        </w:rPr>
        <w:t>建筑类型</w:t>
      </w:r>
      <w:r>
        <w:rPr>
          <w:rStyle w:val="16Char"/>
          <w:rFonts w:hint="eastAsia"/>
          <w:szCs w:val="32"/>
        </w:rPr>
        <w:t>为</w:t>
      </w:r>
      <w:r>
        <w:rPr>
          <w:rFonts w:hint="eastAsia"/>
          <w:szCs w:val="32"/>
        </w:rPr>
        <w:t>储罐（筒仓）</w:t>
      </w:r>
      <w:r>
        <w:rPr>
          <w:rStyle w:val="16Char"/>
          <w:rFonts w:hint="eastAsia"/>
          <w:szCs w:val="32"/>
        </w:rPr>
        <w:t>的，容积不得低于5000立方米。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2.</w:t>
      </w:r>
      <w:r>
        <w:rPr>
          <w:rFonts w:hint="eastAsia"/>
          <w:szCs w:val="32"/>
        </w:rPr>
        <w:t>液体保税仓库容积</w:t>
      </w:r>
      <w:r>
        <w:rPr>
          <w:szCs w:val="32"/>
        </w:rPr>
        <w:t>不得低于</w:t>
      </w:r>
      <w:r>
        <w:rPr>
          <w:rFonts w:hint="eastAsia"/>
          <w:szCs w:val="32"/>
        </w:rPr>
        <w:t>5000立方米。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3.</w:t>
      </w:r>
      <w:r>
        <w:rPr>
          <w:rFonts w:hint="eastAsia"/>
          <w:szCs w:val="32"/>
        </w:rPr>
        <w:t>寄售维修保税仓库面积</w:t>
      </w:r>
      <w:r>
        <w:rPr>
          <w:szCs w:val="32"/>
        </w:rPr>
        <w:t>不得低于</w:t>
      </w:r>
      <w:r>
        <w:rPr>
          <w:rFonts w:hint="eastAsia"/>
          <w:szCs w:val="32"/>
        </w:rPr>
        <w:t>2000平方米。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Fonts w:hint="eastAsia"/>
          <w:b/>
          <w:bCs/>
          <w:szCs w:val="32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（二）出口监管仓库。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1.</w:t>
      </w:r>
      <w:r>
        <w:rPr>
          <w:rFonts w:hint="eastAsia"/>
          <w:szCs w:val="32"/>
        </w:rPr>
        <w:t>出口配送型仓库的面积</w:t>
      </w:r>
      <w:r>
        <w:rPr>
          <w:szCs w:val="32"/>
        </w:rPr>
        <w:t>不得低于</w:t>
      </w:r>
      <w:r>
        <w:rPr>
          <w:rFonts w:hint="eastAsia"/>
          <w:szCs w:val="32"/>
        </w:rPr>
        <w:t>2000平方米。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2.</w:t>
      </w:r>
      <w:r>
        <w:rPr>
          <w:rFonts w:hint="eastAsia"/>
          <w:szCs w:val="32"/>
        </w:rPr>
        <w:t>国内结转型仓库的面积</w:t>
      </w:r>
      <w:r>
        <w:rPr>
          <w:szCs w:val="32"/>
        </w:rPr>
        <w:t>不得低于</w:t>
      </w:r>
      <w:r>
        <w:rPr>
          <w:rFonts w:hint="eastAsia"/>
          <w:szCs w:val="32"/>
        </w:rPr>
        <w:t>1000平方米。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3.</w:t>
      </w:r>
      <w:r>
        <w:rPr>
          <w:rFonts w:hint="eastAsia"/>
          <w:szCs w:val="32"/>
        </w:rPr>
        <w:t>仓库</w:t>
      </w:r>
      <w:r>
        <w:rPr>
          <w:szCs w:val="32"/>
        </w:rPr>
        <w:t>建筑类型</w:t>
      </w:r>
      <w:r>
        <w:rPr>
          <w:rFonts w:hint="eastAsia"/>
          <w:szCs w:val="32"/>
        </w:rPr>
        <w:t>为储罐（筒仓）的，容积不得低于5000立方米。</w:t>
      </w:r>
    </w:p>
    <w:p>
      <w:pPr>
        <w:pStyle w:val="16"/>
        <w:autoSpaceDN w:val="0"/>
        <w:adjustRightInd w:val="0"/>
        <w:snapToGrid w:val="0"/>
        <w:ind w:firstLineChars="200" w:firstLine="624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二、隔离设施</w:t>
      </w:r>
      <w:r>
        <w:rPr>
          <w:rFonts w:ascii="方正黑体_GBK" w:eastAsia="方正黑体_GBK"/>
          <w:szCs w:val="32"/>
        </w:rPr>
        <w:t>标准</w:t>
      </w:r>
    </w:p>
    <w:p>
      <w:pPr>
        <w:pStyle w:val="16"/>
        <w:adjustRightInd w:val="0"/>
        <w:snapToGrid w:val="0"/>
        <w:spacing w:line="560" w:lineRule="exact"/>
        <w:ind w:firstLineChars="200" w:firstLine="624"/>
        <w:rPr>
          <w:szCs w:val="32"/>
          <w:lang w:bidi="ar-SA"/>
        </w:rPr>
      </w:pPr>
      <w:r>
        <w:rPr>
          <w:rFonts w:hint="eastAsia"/>
          <w:szCs w:val="32"/>
          <w:lang w:bidi="ar-SA"/>
        </w:rPr>
        <w:t>经营企业在同一地址不同库区经营多个不同类型仓库的，应在不同仓库间作物理隔断，并设置明显标识。</w:t>
      </w:r>
    </w:p>
    <w:p>
      <w:pPr>
        <w:pStyle w:val="16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bCs/>
          <w:szCs w:val="32"/>
          <w:lang w:bidi="ar-SA"/>
        </w:rPr>
        <w:t>（一）普通仓库。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  <w:lang w:bidi="ar-SA"/>
        </w:rPr>
      </w:pPr>
      <w:r>
        <w:rPr>
          <w:rFonts w:hint="eastAsia"/>
          <w:szCs w:val="32"/>
          <w:lang w:bidi="ar-SA"/>
        </w:rPr>
        <w:t>1.具有独立的隔离区域</w:t>
      </w:r>
      <w:r>
        <w:rPr>
          <w:rFonts w:hint="eastAsia"/>
          <w:szCs w:val="32"/>
          <w:lang w:eastAsia="zh-CN" w:bidi="ar-SA"/>
        </w:rPr>
        <w:t>，隔离设施高度不</w:t>
      </w:r>
      <w:r>
        <w:rPr>
          <w:szCs w:val="32"/>
          <w:lang w:eastAsia="zh-CN" w:bidi="ar-SA"/>
        </w:rPr>
        <w:t>得</w:t>
      </w:r>
      <w:r>
        <w:rPr>
          <w:rFonts w:hint="eastAsia"/>
          <w:szCs w:val="32"/>
          <w:lang w:eastAsia="zh-CN" w:bidi="ar-SA"/>
        </w:rPr>
        <w:t>低于</w:t>
      </w:r>
      <w:r>
        <w:rPr>
          <w:rFonts w:hint="eastAsia"/>
          <w:szCs w:val="32"/>
          <w:lang w:val="en-US" w:eastAsia="zh-CN" w:bidi="ar-SA"/>
        </w:rPr>
        <w:t>2.5</w:t>
      </w:r>
      <w:r>
        <w:rPr>
          <w:rFonts w:hint="eastAsia"/>
          <w:szCs w:val="32"/>
          <w:lang w:eastAsia="zh-CN" w:bidi="ar-SA"/>
        </w:rPr>
        <w:t>米</w:t>
      </w:r>
      <w:r>
        <w:rPr>
          <w:rFonts w:hint="eastAsia"/>
          <w:szCs w:val="32"/>
          <w:lang w:bidi="ar-SA"/>
        </w:rPr>
        <w:t>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rFonts w:hint="eastAsia"/>
          <w:szCs w:val="32"/>
        </w:rPr>
        <w:t>2.仓库内有专门储存、堆放</w:t>
      </w:r>
      <w:r>
        <w:rPr>
          <w:szCs w:val="32"/>
        </w:rPr>
        <w:t>两仓</w:t>
      </w:r>
      <w:r>
        <w:rPr>
          <w:rFonts w:hint="eastAsia"/>
          <w:szCs w:val="32"/>
        </w:rPr>
        <w:t>货物的场地，并设置明显的区位划分标志。</w:t>
      </w:r>
    </w:p>
    <w:p>
      <w:pPr>
        <w:pStyle w:val="16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bCs/>
          <w:szCs w:val="32"/>
          <w:lang w:bidi="ar-SA"/>
        </w:rPr>
        <w:t>（二）露天堆场。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rFonts w:hint="eastAsia"/>
          <w:szCs w:val="32"/>
          <w:lang w:bidi="ar-SA"/>
        </w:rPr>
        <w:t>1.隔离围墙应为不间断隔离设施，不得有破损和缺口，隔离围墙距地面的总净高度不</w:t>
      </w:r>
      <w:r>
        <w:rPr>
          <w:szCs w:val="32"/>
          <w:lang w:bidi="ar-SA"/>
        </w:rPr>
        <w:t>得</w:t>
      </w:r>
      <w:r>
        <w:rPr>
          <w:rFonts w:hint="eastAsia"/>
          <w:szCs w:val="32"/>
          <w:lang w:bidi="ar-SA"/>
        </w:rPr>
        <w:t>低于</w:t>
      </w:r>
      <w:r>
        <w:rPr>
          <w:rFonts w:hint="eastAsia"/>
          <w:szCs w:val="32"/>
          <w:lang w:val="en-US" w:eastAsia="zh-CN"/>
        </w:rPr>
        <w:t>2.5</w:t>
      </w:r>
      <w:r>
        <w:rPr>
          <w:rFonts w:hint="eastAsia"/>
          <w:szCs w:val="32"/>
        </w:rPr>
        <w:t>米。隔离围墙须为金属网状、金属槛栅、实体墙</w:t>
      </w:r>
      <w:r>
        <w:rPr>
          <w:rFonts w:hint="eastAsia"/>
          <w:szCs w:val="32"/>
          <w:lang w:eastAsia="zh-CN"/>
        </w:rPr>
        <w:t>、混凝土围墙板</w:t>
      </w:r>
      <w:r>
        <w:rPr>
          <w:rFonts w:hint="eastAsia"/>
          <w:szCs w:val="32"/>
        </w:rPr>
        <w:t>等</w:t>
      </w:r>
      <w:r>
        <w:rPr>
          <w:rFonts w:hint="eastAsia"/>
          <w:szCs w:val="32"/>
          <w:lang w:eastAsia="zh-CN"/>
        </w:rPr>
        <w:t>隔离设施</w:t>
      </w:r>
      <w:r>
        <w:rPr>
          <w:rFonts w:hint="eastAsia"/>
          <w:szCs w:val="32"/>
        </w:rPr>
        <w:t>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  <w:lang w:bidi="ar-SA"/>
        </w:rPr>
      </w:pPr>
      <w:r>
        <w:rPr>
          <w:rFonts w:hint="eastAsia"/>
          <w:szCs w:val="32"/>
          <w:lang w:bidi="ar-SA"/>
        </w:rPr>
        <w:t>2.堆场内有专门储存、堆放</w:t>
      </w:r>
      <w:r>
        <w:rPr>
          <w:szCs w:val="32"/>
          <w:lang w:bidi="ar-SA"/>
        </w:rPr>
        <w:t>两仓</w:t>
      </w:r>
      <w:r>
        <w:rPr>
          <w:rFonts w:hint="eastAsia"/>
          <w:szCs w:val="32"/>
          <w:lang w:bidi="ar-SA"/>
        </w:rPr>
        <w:t>货物的场地，并设置明显的区位划分标志。</w:t>
      </w:r>
    </w:p>
    <w:p>
      <w:pPr>
        <w:pStyle w:val="16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（三）储罐（筒仓）。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rFonts w:hint="eastAsia"/>
          <w:szCs w:val="32"/>
        </w:rPr>
        <w:t>1.独立的密闭罐体或筒仓。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rFonts w:hint="eastAsia"/>
          <w:szCs w:val="32"/>
        </w:rPr>
        <w:t>2.罐体或筒仓具有明显的区分标志，并具备施封锁条件，进出罐体或筒仓均已加装流量计或其他计量设施。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三、监管设施</w:t>
      </w:r>
      <w:r>
        <w:rPr>
          <w:rFonts w:ascii="方正黑体_GBK" w:eastAsia="方正黑体_GBK"/>
          <w:szCs w:val="32"/>
        </w:rPr>
        <w:t>标准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</w:rPr>
      </w:pPr>
      <w:r>
        <w:rPr>
          <w:rFonts w:hint="eastAsia"/>
          <w:szCs w:val="32"/>
        </w:rPr>
        <w:t>（一）应在仓</w:t>
      </w:r>
      <w:r>
        <w:rPr>
          <w:rFonts w:hint="eastAsia"/>
          <w:bCs/>
          <w:szCs w:val="32"/>
        </w:rPr>
        <w:t>库进出通道、货物装卸和仓储区以及隔离围墙周边等区域</w:t>
      </w:r>
      <w:r>
        <w:rPr>
          <w:bCs/>
          <w:szCs w:val="32"/>
        </w:rPr>
        <w:t>安装视频监控系统</w:t>
      </w:r>
      <w:r>
        <w:rPr>
          <w:rFonts w:hint="eastAsia"/>
          <w:bCs/>
          <w:szCs w:val="32"/>
          <w:lang w:eastAsia="zh-CN"/>
        </w:rPr>
        <w:t>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</w:rPr>
      </w:pPr>
      <w:r>
        <w:rPr>
          <w:bCs/>
          <w:szCs w:val="32"/>
        </w:rPr>
        <w:t>（二）</w:t>
      </w:r>
      <w:r>
        <w:rPr>
          <w:rFonts w:hint="eastAsia"/>
          <w:bCs/>
          <w:szCs w:val="32"/>
        </w:rPr>
        <w:t>监控数据保存期限不得少于90天。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</w:rPr>
      </w:pPr>
      <w:r>
        <w:rPr>
          <w:bCs/>
          <w:szCs w:val="32"/>
        </w:rPr>
        <w:t>（三）</w:t>
      </w:r>
      <w:r>
        <w:rPr>
          <w:rFonts w:hint="eastAsia"/>
          <w:bCs/>
          <w:szCs w:val="32"/>
        </w:rPr>
        <w:t>监控系统应在验收前安装到位，能够正常运行。</w:t>
      </w:r>
      <w:r>
        <w:rPr>
          <w:bCs/>
          <w:szCs w:val="32"/>
        </w:rPr>
        <w:t>经营企业向</w:t>
      </w:r>
      <w:r>
        <w:rPr>
          <w:rFonts w:hint="eastAsia"/>
          <w:bCs/>
          <w:szCs w:val="32"/>
        </w:rPr>
        <w:t>主管海关</w:t>
      </w:r>
      <w:r>
        <w:rPr>
          <w:bCs/>
          <w:szCs w:val="32"/>
        </w:rPr>
        <w:t>提供专用查询账号或与海关联网</w:t>
      </w:r>
      <w:r>
        <w:rPr>
          <w:rFonts w:hint="eastAsia"/>
          <w:bCs/>
          <w:szCs w:val="32"/>
        </w:rPr>
        <w:t>，海关可实时查看仓库</w:t>
      </w:r>
      <w:r>
        <w:rPr>
          <w:rFonts w:hint="eastAsia"/>
          <w:bCs/>
          <w:szCs w:val="32"/>
          <w:lang w:eastAsia="zh-CN"/>
        </w:rPr>
        <w:t>及</w:t>
      </w:r>
      <w:r>
        <w:rPr>
          <w:rFonts w:hint="eastAsia"/>
          <w:bCs/>
          <w:szCs w:val="32"/>
        </w:rPr>
        <w:t>货物情况</w:t>
      </w:r>
      <w:r>
        <w:rPr>
          <w:bCs/>
          <w:szCs w:val="32"/>
        </w:rPr>
        <w:t>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四、</w:t>
      </w:r>
      <w:r>
        <w:rPr>
          <w:rFonts w:ascii="方正黑体_GBK" w:eastAsia="方正黑体_GBK"/>
          <w:szCs w:val="32"/>
        </w:rPr>
        <w:t>内部</w:t>
      </w:r>
      <w:r>
        <w:rPr>
          <w:rFonts w:ascii="方正黑体_GBK" w:eastAsia="方正黑体_GBK" w:hint="eastAsia"/>
          <w:szCs w:val="32"/>
        </w:rPr>
        <w:t>管理和</w:t>
      </w:r>
      <w:r>
        <w:rPr>
          <w:rFonts w:ascii="方正黑体_GBK" w:eastAsia="方正黑体_GBK"/>
          <w:szCs w:val="32"/>
        </w:rPr>
        <w:t>信息化</w:t>
      </w:r>
      <w:r>
        <w:rPr>
          <w:rFonts w:ascii="方正黑体_GBK" w:eastAsia="方正黑体_GBK" w:hint="eastAsia"/>
          <w:szCs w:val="32"/>
        </w:rPr>
        <w:t>系统</w:t>
      </w:r>
      <w:r>
        <w:rPr>
          <w:rFonts w:ascii="方正黑体_GBK" w:eastAsia="方正黑体_GBK"/>
          <w:szCs w:val="32"/>
        </w:rPr>
        <w:t>标准</w:t>
      </w:r>
    </w:p>
    <w:p>
      <w:pPr>
        <w:pStyle w:val="16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（一）内部管理。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</w:rPr>
      </w:pPr>
      <w:r>
        <w:rPr>
          <w:rFonts w:hint="eastAsia"/>
          <w:bCs/>
          <w:szCs w:val="32"/>
        </w:rPr>
        <w:t>仓库经营企业应建立专门的账册、单证、仓库管理制度，如实记录仓库</w:t>
      </w:r>
      <w:r>
        <w:rPr>
          <w:bCs/>
          <w:szCs w:val="32"/>
        </w:rPr>
        <w:t>货物</w:t>
      </w:r>
      <w:r>
        <w:rPr>
          <w:rFonts w:hint="eastAsia"/>
          <w:bCs/>
          <w:szCs w:val="32"/>
        </w:rPr>
        <w:t>的进</w:t>
      </w:r>
      <w:r>
        <w:rPr>
          <w:bCs/>
          <w:szCs w:val="32"/>
        </w:rPr>
        <w:t>、</w:t>
      </w:r>
      <w:r>
        <w:rPr>
          <w:rFonts w:hint="eastAsia"/>
          <w:bCs/>
          <w:szCs w:val="32"/>
        </w:rPr>
        <w:t>出</w:t>
      </w:r>
      <w:r>
        <w:rPr>
          <w:bCs/>
          <w:szCs w:val="32"/>
        </w:rPr>
        <w:t>、转、</w:t>
      </w:r>
      <w:r>
        <w:rPr>
          <w:rFonts w:hint="eastAsia"/>
          <w:bCs/>
          <w:szCs w:val="32"/>
        </w:rPr>
        <w:t>存等情况。</w:t>
      </w:r>
    </w:p>
    <w:p>
      <w:pPr>
        <w:pStyle w:val="16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  <w:lang w:eastAsia="zh-CN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（二）信息化系统</w:t>
      </w:r>
      <w:r>
        <w:rPr>
          <w:rFonts w:ascii="方正楷体_GBK" w:eastAsia="方正楷体_GBK" w:cs="方正楷体_GBK" w:hint="eastAsia"/>
          <w:b/>
          <w:bCs/>
          <w:szCs w:val="32"/>
          <w:lang w:eastAsia="zh-CN"/>
        </w:rPr>
        <w:t>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  <w:lang w:val="en-US" w:eastAsia="zh-CN"/>
        </w:rPr>
      </w:pPr>
      <w:r>
        <w:rPr>
          <w:rFonts w:hint="eastAsia"/>
          <w:bCs/>
          <w:szCs w:val="32"/>
        </w:rPr>
        <w:t>仓库应具备仓库管理系统，将货物的</w:t>
      </w:r>
      <w:r>
        <w:rPr>
          <w:bCs/>
          <w:szCs w:val="32"/>
        </w:rPr>
        <w:t>进出</w:t>
      </w:r>
      <w:r>
        <w:rPr>
          <w:rFonts w:hint="eastAsia"/>
          <w:bCs/>
          <w:szCs w:val="32"/>
        </w:rPr>
        <w:t>库、存储区位、核注清单等纳入管理，具有查询统计以及业务预警功能。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Fonts w:hint="eastAsia"/>
          <w:bCs/>
          <w:szCs w:val="32"/>
        </w:rPr>
      </w:pPr>
      <w:r>
        <w:rPr>
          <w:rFonts w:hint="eastAsia"/>
          <w:bCs/>
          <w:szCs w:val="32"/>
          <w:lang w:val="en-US" w:eastAsia="zh-CN"/>
        </w:rPr>
        <w:t>1.</w:t>
      </w:r>
      <w:r>
        <w:rPr>
          <w:rFonts w:hint="eastAsia"/>
          <w:bCs/>
          <w:szCs w:val="32"/>
        </w:rPr>
        <w:t>仓库信息化系统应</w:t>
      </w:r>
      <w:r>
        <w:rPr>
          <w:rFonts w:hint="eastAsia"/>
          <w:bCs/>
          <w:szCs w:val="32"/>
          <w:lang w:eastAsia="zh-CN"/>
        </w:rPr>
        <w:t>包含</w:t>
      </w:r>
      <w:r>
        <w:rPr>
          <w:rFonts w:hint="eastAsia"/>
          <w:bCs/>
          <w:szCs w:val="32"/>
        </w:rPr>
        <w:t>以下关键字段数据：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Fonts w:hint="eastAsia"/>
          <w:bCs/>
          <w:szCs w:val="32"/>
        </w:rPr>
      </w:pPr>
      <w:r>
        <w:rPr>
          <w:rFonts w:hint="eastAsia"/>
          <w:bCs/>
          <w:szCs w:val="32"/>
        </w:rPr>
        <w:t>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  <w:lang w:eastAsia="zh-CN"/>
        </w:rPr>
        <w:t>标志、</w:t>
      </w:r>
      <w:r>
        <w:rPr>
          <w:rFonts w:hint="eastAsia"/>
          <w:bCs/>
          <w:szCs w:val="32"/>
        </w:rPr>
        <w:t>供货（提货）企业名称、货物自然序号</w:t>
      </w:r>
      <w:r>
        <w:rPr>
          <w:rFonts w:hint="eastAsia"/>
          <w:bCs/>
          <w:szCs w:val="32"/>
          <w:lang w:eastAsia="zh-CN"/>
        </w:rPr>
        <w:t>、商品料号</w:t>
      </w:r>
      <w:r>
        <w:rPr>
          <w:rFonts w:hint="eastAsia"/>
          <w:bCs/>
          <w:szCs w:val="32"/>
        </w:rPr>
        <w:t>、电子账册项号、商品编码、商品名称、规格</w:t>
      </w:r>
      <w:r>
        <w:rPr>
          <w:rFonts w:hint="eastAsia"/>
          <w:bCs/>
          <w:szCs w:val="32"/>
          <w:lang w:eastAsia="zh-CN"/>
        </w:rPr>
        <w:t>、原产国</w:t>
      </w:r>
      <w:r>
        <w:rPr>
          <w:rFonts w:hint="eastAsia"/>
          <w:bCs/>
          <w:szCs w:val="32"/>
        </w:rPr>
        <w:t>、计量单位、数量、价值、报关单号、核注清单号、对应进出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</w:rPr>
        <w:t>单号、仓位号、进出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</w:rPr>
        <w:t>日期，出仓模块在此基础上还应包括贸易方式、运输工具名称、运输工具编号等字段。</w:t>
      </w:r>
    </w:p>
    <w:p>
      <w:pPr>
        <w:pStyle w:val="16"/>
        <w:autoSpaceDN w:val="0"/>
        <w:adjustRightInd w:val="0"/>
        <w:snapToGrid w:val="0"/>
        <w:spacing w:line="560" w:lineRule="exact"/>
        <w:ind w:firstLineChars="200" w:firstLine="624"/>
        <w:rPr>
          <w:rFonts w:hint="eastAsia"/>
          <w:bCs/>
          <w:szCs w:val="32"/>
        </w:rPr>
      </w:pPr>
      <w:r>
        <w:rPr>
          <w:rFonts w:hint="eastAsia"/>
          <w:bCs/>
          <w:szCs w:val="32"/>
          <w:lang w:val="en-US" w:eastAsia="zh-CN"/>
        </w:rPr>
        <w:t>2.</w:t>
      </w:r>
      <w:r>
        <w:rPr>
          <w:rFonts w:hint="eastAsia"/>
          <w:bCs/>
          <w:szCs w:val="32"/>
        </w:rPr>
        <w:t>仓库信息化系统</w:t>
      </w:r>
      <w:r>
        <w:rPr>
          <w:rFonts w:hint="eastAsia"/>
          <w:bCs/>
          <w:szCs w:val="32"/>
          <w:lang w:eastAsia="zh-CN"/>
        </w:rPr>
        <w:t>应具备以下</w:t>
      </w:r>
      <w:r>
        <w:rPr>
          <w:rFonts w:hint="eastAsia"/>
          <w:bCs/>
          <w:szCs w:val="32"/>
        </w:rPr>
        <w:t>功能</w:t>
      </w:r>
      <w:r>
        <w:rPr>
          <w:rFonts w:hint="eastAsia"/>
          <w:bCs/>
          <w:szCs w:val="32"/>
          <w:lang w:eastAsia="zh-CN"/>
        </w:rPr>
        <w:t>：</w:t>
      </w:r>
    </w:p>
    <w:p>
      <w:pPr>
        <w:pStyle w:val="16"/>
        <w:adjustRightInd w:val="0"/>
        <w:snapToGrid w:val="0"/>
        <w:ind w:firstLineChars="200" w:firstLine="624"/>
        <w:rPr>
          <w:bCs/>
          <w:szCs w:val="32"/>
        </w:rPr>
      </w:pPr>
      <w:r>
        <w:rPr>
          <w:rFonts w:hint="eastAsia"/>
          <w:bCs/>
          <w:szCs w:val="32"/>
        </w:rPr>
        <w:t>可实现以电子账册项号、商品名称、商品编码、日期时间段、报关单号、核注清单号等字段</w:t>
      </w:r>
      <w:r>
        <w:rPr>
          <w:bCs/>
          <w:szCs w:val="32"/>
        </w:rPr>
        <w:t>进行</w:t>
      </w:r>
      <w:r>
        <w:rPr>
          <w:rFonts w:hint="eastAsia"/>
          <w:bCs/>
          <w:szCs w:val="32"/>
        </w:rPr>
        <w:t>库存货物的自动累加和扣减等统计功能。可实现以电子账册项号、商品名称、商品编码、日期时间段、报关单号、仓位号等字段进行组合查询。可按货物进出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</w:rPr>
        <w:t>时间段查询相关进出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</w:rPr>
        <w:t>报关单号、核注清单号，并以列表形式输出。</w:t>
      </w:r>
      <w:r>
        <w:rPr>
          <w:rFonts w:hint="eastAsia"/>
          <w:bCs/>
          <w:szCs w:val="32"/>
          <w:lang w:eastAsia="zh-CN"/>
        </w:rPr>
        <w:t>可</w:t>
      </w:r>
      <w:r>
        <w:rPr>
          <w:rFonts w:hint="eastAsia"/>
          <w:bCs/>
          <w:szCs w:val="32"/>
        </w:rPr>
        <w:t>实现</w:t>
      </w:r>
      <w:r>
        <w:rPr>
          <w:bCs/>
          <w:szCs w:val="32"/>
        </w:rPr>
        <w:t>对许可期即将届满的仓库</w:t>
      </w:r>
      <w:r>
        <w:rPr>
          <w:rFonts w:hint="eastAsia"/>
          <w:bCs/>
          <w:szCs w:val="32"/>
        </w:rPr>
        <w:t>和</w:t>
      </w:r>
      <w:r>
        <w:rPr>
          <w:bCs/>
          <w:szCs w:val="32"/>
        </w:rPr>
        <w:t>仓储期限即将届满的货物，在到期前45天内每日自动进行</w:t>
      </w:r>
      <w:r>
        <w:rPr>
          <w:rFonts w:hint="eastAsia"/>
          <w:bCs/>
          <w:szCs w:val="32"/>
        </w:rPr>
        <w:t>预警</w:t>
      </w:r>
      <w:r>
        <w:rPr>
          <w:bCs/>
          <w:szCs w:val="32"/>
        </w:rPr>
        <w:t>提示功能。经营企业向主管海关提供专用查询账号或与海关联网，海关可实时查看仓库货物进、出、转、存情况。</w:t>
      </w:r>
    </w:p>
    <w:p>
      <w:pPr>
        <w:pStyle w:val="17"/>
        <w:autoSpaceDN w:val="0"/>
        <w:adjustRightInd w:val="0"/>
        <w:snapToGrid w:val="0"/>
        <w:ind w:firstLineChars="200" w:firstLine="624"/>
        <w:rPr>
          <w:rFonts w:hint="eastAsia"/>
          <w:b/>
          <w:szCs w:val="32"/>
        </w:rPr>
      </w:pPr>
      <w:r>
        <w:rPr>
          <w:rFonts w:hint="eastAsia"/>
          <w:bCs/>
          <w:szCs w:val="32"/>
          <w:lang w:eastAsia="zh-CN"/>
        </w:rPr>
        <w:t>对已按</w:t>
      </w:r>
      <w:r>
        <w:rPr>
          <w:rFonts w:hint="eastAsia"/>
          <w:bCs/>
          <w:szCs w:val="32"/>
        </w:rPr>
        <w:t>《关于明确油气液体化工品监管相关事宜的公告》</w:t>
      </w:r>
      <w:r>
        <w:rPr>
          <w:rFonts w:hint="eastAsia"/>
          <w:bCs/>
          <w:szCs w:val="32"/>
          <w:lang w:eastAsia="zh-CN"/>
        </w:rPr>
        <w:t>（</w:t>
      </w:r>
      <w:r>
        <w:rPr>
          <w:rFonts w:hint="eastAsia"/>
          <w:bCs/>
          <w:szCs w:val="32"/>
        </w:rPr>
        <w:t>海关总署公告2015年第45号</w:t>
      </w:r>
      <w:r>
        <w:rPr>
          <w:rFonts w:hint="eastAsia"/>
          <w:bCs/>
          <w:szCs w:val="32"/>
          <w:lang w:eastAsia="zh-CN"/>
        </w:rPr>
        <w:t>）要求安装并正常运行</w:t>
      </w:r>
      <w:r>
        <w:rPr>
          <w:rFonts w:hint="eastAsia"/>
          <w:bCs/>
          <w:szCs w:val="32"/>
        </w:rPr>
        <w:t>油气液体化工品物流监控系统</w:t>
      </w:r>
      <w:r>
        <w:rPr>
          <w:rFonts w:hint="eastAsia"/>
          <w:bCs/>
          <w:szCs w:val="32"/>
          <w:lang w:eastAsia="zh-CN"/>
        </w:rPr>
        <w:t>的仓库，视为已具备</w:t>
      </w:r>
      <w:r>
        <w:rPr>
          <w:bCs/>
          <w:szCs w:val="32"/>
          <w:lang w:eastAsia="zh-CN"/>
        </w:rPr>
        <w:t>符合海关监管要求的</w:t>
      </w:r>
      <w:r>
        <w:rPr>
          <w:rFonts w:hint="eastAsia"/>
          <w:bCs/>
          <w:szCs w:val="32"/>
        </w:rPr>
        <w:t>仓库管理系统</w:t>
      </w:r>
      <w:r>
        <w:rPr>
          <w:rFonts w:hint="eastAsia"/>
          <w:bCs/>
          <w:szCs w:val="32"/>
          <w:lang w:eastAsia="zh-CN"/>
        </w:rPr>
        <w:t>。</w:t>
      </w:r>
    </w:p>
    <w:sectPr>
      <w:footerReference w:type="default" r:id="rId2"/>
      <w:pgSz w:w="11906" w:h="16838"/>
      <w:pgMar w:top="2098" w:right="1474" w:bottom="1985" w:left="1588" w:header="1814" w:footer="1474" w:gutter="0"/>
      <w:pgNumType/>
      <w:docGrid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0000000000000000000"/>
    <w:charset w:val="00"/>
    <w:family w:val="script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rPr>
        <w:rFonts w:hint="eastAsia"/>
      </w:rPr>
    </w:pPr>
    <w:r>
      <w:rPr>
        <w:rFonts w:hint="eastAsia"/>
      </w:rPr>
      <w:t>—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lang w:val="en-US" w:eastAsia="zh-CN"/>
      </w:rPr>
      <w:t>1</w:t>
    </w:r>
    <w:r>
      <w:fldChar w:fldCharType="end"/>
    </w:r>
    <w:r>
      <w:t xml:space="preserve"> </w:t>
    </w:r>
    <w:r>
      <w:rPr>
        <w:rFonts w:hint="eastAsia"/>
      </w:rPr>
      <w:t>—</w: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50"/>
  <w:displayBackgroundShape/>
  <w:bordersDoNotSurroundHeader/>
  <w:bordersDoNotSurroundFooter/>
  <w:trackRevisions/>
  <w:defaultTabStop w:val="425"/>
  <w:drawingGridHorizontalSpacing w:val="156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widowControl w:val="0"/>
      <w:snapToGrid w:val="0"/>
      <w:spacing w:line="240" w:lineRule="auto"/>
      <w:jc w:val="center"/>
    </w:pPr>
    <w:rPr>
      <w:rFonts w:ascii="Times New Roman" w:eastAsia="方正仿宋_GBK" w:cs="Times New Roman" w:hAnsi="Times New Roman"/>
      <w:spacing w:val="-4"/>
      <w:kern w:val="0"/>
      <w:sz w:val="28"/>
      <w:szCs w:val="20"/>
      <w:lang w:val="en-US" w:eastAsia="zh-CN" w:bidi="ar-SA"/>
    </w:rPr>
  </w:style>
  <w:style w:type="paragraph" w:customStyle="1" w:styleId="16">
    <w:name w:val="样式 三号"/>
    <w:link w:val="16Char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character" w:customStyle="1" w:styleId="16Char">
    <w:name w:val="样式 三号 Char"/>
    <w:basedOn w:val="10"/>
    <w:link w:val="16"/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17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18">
    <w:name w:val="样式 小四"/>
    <w:pPr>
      <w:widowControl w:val="0"/>
      <w:spacing w:line="240" w:lineRule="auto"/>
      <w:jc w:val="left"/>
    </w:pPr>
    <w:rPr>
      <w:rFonts w:ascii="宋体" w:eastAsia="宋体" w:cs="Lucida Sans" w:hAnsi="Times New Roman"/>
      <w:kern w:val="2"/>
      <w:sz w:val="24"/>
      <w:szCs w:val="21"/>
      <w:lang w:val="en-US" w:eastAsia="zh-CN" w:bidi="ar-SA"/>
    </w:rPr>
  </w:style>
  <w:style w:type="paragraph" w:customStyle="1" w:styleId="19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C4A2C96-7632-4DCA-8FCE-41845F1B023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56</TotalTime>
  <Application>Yozo_Office27021597764231179</Application>
  <Pages>2</Pages>
  <Words>0</Words>
  <Characters>1026</Characters>
  <Lines>0</Lines>
  <Paragraphs>38</Paragraphs>
  <CharactersWithSpaces>1369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江琳琳</dc:creator>
  <cp:lastModifiedBy>hpuser</cp:lastModifiedBy>
  <cp:revision>1</cp:revision>
  <cp:lastPrinted>2023-06-28T08:31:32Z</cp:lastPrinted>
  <dcterms:created xsi:type="dcterms:W3CDTF">2023-06-08T07:59:15Z</dcterms:created>
  <dcterms:modified xsi:type="dcterms:W3CDTF">2025-02-10T03:08:40Z</dcterms:modified>
</cp:coreProperties>
</file>