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方正小标宋_GBK" w:eastAsia="方正小标宋_GBK" w:cs="宋体"/>
          <w:sz w:val="44"/>
          <w:szCs w:val="44"/>
          <w:bdr w:val="single" w:sz="4" w:space="0" w:color="auto"/>
        </w:rPr>
      </w:pPr>
      <w:r>
        <w:rPr>
          <w:rFonts w:ascii="方正小标宋_GBK" w:eastAsia="方正小标宋_GBK" w:cs="宋体" w:hint="eastAsia"/>
          <w:sz w:val="44"/>
          <w:szCs w:val="44"/>
        </w:rPr>
        <w:t>常平海关采购报价单</w:t>
      </w:r>
    </w:p>
    <w:tbl>
      <w:tblPr>
        <w:jc w:val="left"/>
        <w:tblW w:w="8743"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743"/>
      </w:tblGrid>
      <w:tr>
        <w:trPr>
          <w:trHeight w:val="424"/>
        </w:trPr>
        <w:tc>
          <w:tcPr>
            <w:tcW w:w="8743" w:type="dxa"/>
            <w:tcBorders>
              <w:top w:val="single" w:sz="4" w:space="0" w:color="auto"/>
              <w:left w:val="single" w:sz="4" w:space="0" w:color="auto"/>
              <w:bottom w:val="single" w:sz="4" w:space="0" w:color="auto"/>
              <w:right w:val="single" w:sz="4" w:space="0" w:color="000000"/>
            </w:tcBorders>
            <w:vAlign w:val="center"/>
          </w:tcPr>
          <w:p>
            <w:pPr>
              <w:jc w:val="left"/>
              <w:rPr>
                <w:rFonts w:cs="宋体"/>
                <w:b/>
                <w:bCs/>
                <w:szCs w:val="2"/>
              </w:rPr>
            </w:pPr>
            <w:r>
              <w:rPr>
                <w:rFonts w:cs="宋体" w:hint="eastAsia"/>
                <w:b/>
                <w:bCs/>
                <w:szCs w:val="2"/>
              </w:rPr>
              <w:t>项目名称：常平海关</w:t>
            </w:r>
            <w:r>
              <w:rPr>
                <w:rFonts w:cs="宋体"/>
                <w:b/>
                <w:bCs/>
                <w:szCs w:val="2"/>
              </w:rPr>
              <w:t>（含缉私分局）</w:t>
            </w:r>
            <w:r>
              <w:rPr>
                <w:b/>
                <w:bCs/>
                <w:szCs w:val="2"/>
              </w:rPr>
              <w:t>2026</w:t>
            </w:r>
            <w:r>
              <w:rPr>
                <w:rFonts w:cs="宋体" w:hint="eastAsia"/>
                <w:b/>
                <w:bCs/>
                <w:szCs w:val="2"/>
              </w:rPr>
              <w:t>年公务车辆保险定点供应商采购</w:t>
            </w:r>
          </w:p>
        </w:tc>
      </w:tr>
      <w:tr>
        <w:trPr>
          <w:trHeight w:val="449"/>
        </w:trPr>
        <w:tc>
          <w:tcPr>
            <w:tcW w:w="8743" w:type="dxa"/>
            <w:tcBorders>
              <w:top w:val="single" w:sz="4" w:space="0" w:color="auto"/>
              <w:left w:val="single" w:sz="4" w:space="0" w:color="auto"/>
              <w:bottom w:val="single" w:sz="4" w:space="0" w:color="auto"/>
              <w:right w:val="single" w:sz="4" w:space="0" w:color="000000"/>
            </w:tcBorders>
            <w:vAlign w:val="center"/>
          </w:tcPr>
          <w:p>
            <w:pPr>
              <w:jc w:val="center"/>
              <w:rPr>
                <w:rFonts w:cs="宋体"/>
                <w:b/>
                <w:bCs/>
                <w:szCs w:val="2"/>
              </w:rPr>
            </w:pPr>
            <w:r>
              <w:rPr>
                <w:rFonts w:cs="宋体" w:hint="eastAsia"/>
                <w:b/>
                <w:bCs/>
                <w:szCs w:val="2"/>
              </w:rPr>
              <w:t>供应商报价</w:t>
            </w:r>
          </w:p>
        </w:tc>
      </w:tr>
      <w:tr>
        <w:trPr>
          <w:trHeight w:val="1208"/>
        </w:trPr>
        <w:tc>
          <w:tcPr>
            <w:tcW w:w="8743" w:type="dxa"/>
            <w:tcBorders>
              <w:top w:val="single" w:sz="4" w:space="0" w:color="auto"/>
              <w:left w:val="single" w:sz="4" w:space="0" w:color="auto"/>
              <w:bottom w:val="single" w:sz="4" w:space="0" w:color="auto"/>
              <w:right w:val="single" w:sz="4" w:space="0" w:color="000000"/>
            </w:tcBorders>
            <w:vAlign w:val="center"/>
          </w:tcPr>
          <w:p>
            <w:pPr>
              <w:jc w:val="center"/>
              <w:rPr>
                <w:rFonts w:cs="宋体"/>
                <w:bCs/>
                <w:szCs w:val="2"/>
                <w:u w:val="single"/>
              </w:rPr>
            </w:pPr>
            <w:r>
              <w:rPr>
                <w:rFonts w:cs="宋体" w:hint="eastAsia"/>
                <w:b/>
                <w:bCs/>
                <w:szCs w:val="2"/>
              </w:rPr>
              <w:t>自主定价系数：</w:t>
            </w:r>
            <w:r>
              <w:rPr>
                <w:rFonts w:cs="宋体"/>
                <w:bCs/>
                <w:szCs w:val="2"/>
                <w:u w:val="single"/>
              </w:rPr>
              <w:t xml:space="preserve">     </w:t>
            </w:r>
          </w:p>
        </w:tc>
      </w:tr>
    </w:tbl>
    <w:p>
      <w:pPr>
        <w:jc w:val="left"/>
        <w:rPr>
          <w:rFonts w:cs="宋体"/>
          <w:szCs w:val="2"/>
        </w:rPr>
      </w:pPr>
      <w:r>
        <w:rPr>
          <w:rFonts w:cs="宋体" w:hint="eastAsia"/>
          <w:szCs w:val="2"/>
        </w:rPr>
        <w:t>说明事项：</w:t>
      </w:r>
      <w:r>
        <w:rPr>
          <w:rFonts w:cs="宋体"/>
          <w:szCs w:val="2"/>
        </w:rPr>
        <w:br/>
      </w:r>
      <w:r>
        <w:rPr>
          <w:szCs w:val="2"/>
        </w:rPr>
        <w:t>1.</w:t>
      </w:r>
      <w:r>
        <w:rPr>
          <w:rFonts w:cs="宋体" w:hint="eastAsia"/>
          <w:szCs w:val="2"/>
        </w:rPr>
        <w:t>上表中报价包括设备材料费、运输装运、调试、验收、发票税金等一切费用。一经中标，服务期内以此定价系数执行。</w:t>
      </w:r>
      <w:r>
        <w:rPr>
          <w:rFonts w:cs="宋体"/>
          <w:szCs w:val="2"/>
        </w:rPr>
        <w:br/>
      </w:r>
      <w:r>
        <w:rPr>
          <w:szCs w:val="2"/>
        </w:rPr>
        <w:t>2.</w:t>
      </w:r>
      <w:r>
        <w:rPr>
          <w:rFonts w:cs="宋体" w:hint="eastAsia"/>
          <w:szCs w:val="2"/>
        </w:rPr>
        <w:t>报价资料包括</w:t>
      </w:r>
      <w:r>
        <w:rPr>
          <w:rFonts w:cs="宋体" w:hint="eastAsia"/>
          <w:b/>
          <w:szCs w:val="2"/>
        </w:rPr>
        <w:t>加盖公章</w:t>
      </w:r>
      <w:r>
        <w:rPr>
          <w:rFonts w:cs="宋体" w:hint="eastAsia"/>
          <w:szCs w:val="2"/>
        </w:rPr>
        <w:t>的</w:t>
      </w:r>
      <w:r>
        <w:rPr>
          <w:rFonts w:cs="宋体" w:hint="eastAsia"/>
          <w:b/>
          <w:bCs/>
          <w:szCs w:val="2"/>
        </w:rPr>
        <w:t>《常平海关采购报价单》（含用户需求书）和营业执照复印件及其他资料（如有）</w:t>
      </w:r>
      <w:r>
        <w:rPr>
          <w:rFonts w:cs="宋体" w:hint="eastAsia"/>
          <w:szCs w:val="2"/>
        </w:rPr>
        <w:t>于</w:t>
      </w:r>
      <w:r>
        <w:rPr>
          <w:szCs w:val="2"/>
        </w:rPr>
        <w:t>5</w:t>
      </w:r>
      <w:r>
        <w:rPr>
          <w:rFonts w:cs="宋体" w:hint="eastAsia"/>
          <w:szCs w:val="2"/>
        </w:rPr>
        <w:t>个工作日内快递或现场递交到采购人单位地址。</w:t>
      </w:r>
    </w:p>
    <w:p>
      <w:pPr>
        <w:jc w:val="left"/>
        <w:rPr>
          <w:rFonts w:cs="宋体"/>
          <w:b/>
          <w:szCs w:val="2"/>
        </w:rPr>
      </w:pPr>
      <w:r>
        <w:rPr>
          <w:rFonts w:cs="宋体"/>
          <w:szCs w:val="2"/>
        </w:rPr>
        <w:br/>
      </w:r>
      <w:r>
        <w:rPr>
          <w:rFonts w:cs="宋体" w:hint="eastAsia"/>
          <w:b/>
          <w:szCs w:val="2"/>
        </w:rPr>
        <w:t>供应商名称</w:t>
      </w:r>
      <w:r>
        <w:rPr>
          <w:rFonts w:cs="宋体" w:hint="eastAsia"/>
          <w:b/>
          <w:bCs/>
          <w:szCs w:val="2"/>
        </w:rPr>
        <w:t>（加盖公章）</w:t>
      </w:r>
      <w:r>
        <w:rPr>
          <w:rFonts w:cs="宋体" w:hint="eastAsia"/>
          <w:b/>
          <w:szCs w:val="2"/>
        </w:rPr>
        <w:t>：</w:t>
      </w:r>
      <w:r>
        <w:rPr>
          <w:rFonts w:cs="宋体"/>
          <w:b/>
          <w:szCs w:val="2"/>
        </w:rPr>
        <w:t xml:space="preserve">            </w:t>
      </w:r>
      <w:r>
        <w:rPr>
          <w:rFonts w:cs="宋体" w:hint="eastAsia"/>
          <w:b/>
          <w:szCs w:val="2"/>
        </w:rPr>
        <w:t>报价联系人：</w:t>
      </w:r>
      <w:r>
        <w:rPr>
          <w:rFonts w:cs="宋体"/>
          <w:b/>
          <w:szCs w:val="2"/>
        </w:rPr>
        <w:br/>
      </w:r>
      <w:r>
        <w:rPr>
          <w:rFonts w:cs="宋体" w:hint="eastAsia"/>
          <w:b/>
          <w:szCs w:val="2"/>
        </w:rPr>
        <w:t>报价日期：</w:t>
      </w:r>
      <w:r>
        <w:rPr>
          <w:rFonts w:cs="宋体"/>
          <w:b/>
          <w:szCs w:val="2"/>
        </w:rPr>
        <w:t xml:space="preserve">                         </w:t>
      </w:r>
      <w:r>
        <w:rPr>
          <w:rFonts w:cs="宋体" w:hint="eastAsia"/>
          <w:b/>
          <w:szCs w:val="2"/>
        </w:rPr>
        <w:t>联系电话：</w:t>
      </w:r>
    </w:p>
    <w:p>
      <w:pPr>
        <w:jc w:val="left"/>
        <w:rPr>
          <w:szCs w:val="2"/>
        </w:rPr>
      </w:pPr>
    </w:p>
    <w:p>
      <w:pPr>
        <w:jc w:val="left"/>
        <w:rPr>
          <w:szCs w:val="2"/>
        </w:rPr>
      </w:pPr>
    </w:p>
    <w:p>
      <w:pPr>
        <w:jc w:val="left"/>
        <w:rPr>
          <w:szCs w:val="2"/>
        </w:rPr>
      </w:pPr>
    </w:p>
    <w:p>
      <w:pPr>
        <w:jc w:val="left"/>
        <w:rPr>
          <w:szCs w:val="2"/>
        </w:rPr>
      </w:pPr>
    </w:p>
    <w:p>
      <w:pPr>
        <w:jc w:val="left"/>
        <w:rPr>
          <w:szCs w:val="2"/>
        </w:rPr>
      </w:pPr>
    </w:p>
    <w:p>
      <w:pPr>
        <w:jc w:val="left"/>
        <w:rPr>
          <w:szCs w:val="2"/>
        </w:rPr>
      </w:pPr>
    </w:p>
    <w:p>
      <w:pPr>
        <w:jc w:val="center"/>
        <w:rPr>
          <w:rFonts w:ascii="方正小标宋_GBK" w:eastAsia="方正小标宋_GBK"/>
          <w:szCs w:val="2"/>
        </w:rPr>
      </w:pPr>
      <w:r>
        <w:rPr>
          <w:rFonts w:ascii="方正小标宋_GBK" w:eastAsia="方正小标宋_GBK" w:hint="eastAsia"/>
          <w:szCs w:val="2"/>
        </w:rPr>
        <w:t>用户需求书</w:t>
      </w:r>
    </w:p>
    <w:p>
      <w:pPr>
        <w:jc w:val="left"/>
        <w:rPr>
          <w:szCs w:val="2"/>
        </w:rPr>
      </w:pPr>
      <w:r>
        <w:rPr>
          <w:rFonts w:hint="eastAsia"/>
          <w:szCs w:val="2"/>
        </w:rPr>
        <w:t>说明：参加本项目并按要求递交报价资料的供应商，则默认为供应商能完全做到以下所有项目的要求。</w:t>
      </w:r>
    </w:p>
    <w:p>
      <w:pPr>
        <w:jc w:val="left"/>
        <w:rPr>
          <w:szCs w:val="2"/>
        </w:rPr>
      </w:pPr>
      <w:r>
        <w:rPr>
          <w:rFonts w:hint="eastAsia"/>
          <w:szCs w:val="2"/>
        </w:rPr>
        <w:t>一、项目概述</w:t>
      </w:r>
    </w:p>
    <w:p>
      <w:pPr>
        <w:jc w:val="left"/>
        <w:rPr>
          <w:szCs w:val="2"/>
        </w:rPr>
      </w:pPr>
      <w:r>
        <w:rPr>
          <w:rFonts w:hint="eastAsia"/>
          <w:szCs w:val="2"/>
        </w:rPr>
        <w:t>常平海关</w:t>
      </w:r>
      <w:r>
        <w:rPr>
          <w:szCs w:val="2"/>
        </w:rPr>
        <w:t>（含缉私分局）</w:t>
      </w:r>
      <w:r>
        <w:rPr>
          <w:rFonts w:hint="eastAsia"/>
          <w:szCs w:val="2"/>
        </w:rPr>
        <w:t>现有公务用车共</w:t>
      </w:r>
      <w:r>
        <w:rPr>
          <w:szCs w:val="2"/>
        </w:rPr>
        <w:t>18</w:t>
      </w:r>
      <w:r>
        <w:rPr>
          <w:rFonts w:hint="eastAsia"/>
          <w:szCs w:val="2"/>
        </w:rPr>
        <w:t>辆</w:t>
      </w:r>
      <w:r>
        <w:rPr>
          <w:szCs w:val="2"/>
        </w:rPr>
        <w:t>（海关13辆，缉私分局5辆）</w:t>
      </w:r>
      <w:r>
        <w:rPr>
          <w:rFonts w:hint="eastAsia"/>
          <w:szCs w:val="2"/>
        </w:rPr>
        <w:t>，</w:t>
      </w:r>
      <w:r>
        <w:rPr>
          <w:szCs w:val="2"/>
        </w:rPr>
        <w:t>2026</w:t>
      </w:r>
      <w:r>
        <w:rPr>
          <w:rFonts w:hint="eastAsia"/>
          <w:szCs w:val="2"/>
        </w:rPr>
        <w:t>年度拟购买车损险、第三者责任险</w:t>
      </w:r>
      <w:r>
        <w:rPr>
          <w:szCs w:val="2"/>
        </w:rPr>
        <w:t>300</w:t>
      </w:r>
      <w:r>
        <w:rPr>
          <w:rFonts w:hint="eastAsia"/>
          <w:szCs w:val="2"/>
        </w:rPr>
        <w:t>万元、车上人员责任险</w:t>
      </w:r>
      <w:r>
        <w:rPr>
          <w:szCs w:val="2"/>
        </w:rPr>
        <w:t>3</w:t>
      </w:r>
      <w:r>
        <w:rPr>
          <w:rFonts w:hint="eastAsia"/>
          <w:szCs w:val="2"/>
        </w:rPr>
        <w:t>万</w:t>
      </w:r>
      <w:r>
        <w:rPr>
          <w:szCs w:val="2"/>
        </w:rPr>
        <w:t>/</w:t>
      </w:r>
      <w:r>
        <w:rPr>
          <w:rFonts w:hint="eastAsia"/>
          <w:szCs w:val="2"/>
        </w:rPr>
        <w:t>座、医保外用药附加险及交强险。</w:t>
      </w:r>
    </w:p>
    <w:p>
      <w:pPr>
        <w:jc w:val="left"/>
        <w:rPr>
          <w:szCs w:val="2"/>
        </w:rPr>
      </w:pPr>
      <w:r>
        <w:rPr>
          <w:rFonts w:hint="eastAsia"/>
          <w:szCs w:val="2"/>
        </w:rPr>
        <w:t>二、项目预算：</w:t>
      </w:r>
      <w:r>
        <w:rPr>
          <w:szCs w:val="2"/>
        </w:rPr>
        <w:t>60000</w:t>
      </w:r>
      <w:r>
        <w:rPr>
          <w:rFonts w:hint="eastAsia"/>
          <w:szCs w:val="2"/>
        </w:rPr>
        <w:t>元（最高限价）</w:t>
      </w:r>
    </w:p>
    <w:p>
      <w:pPr>
        <w:jc w:val="left"/>
        <w:rPr>
          <w:szCs w:val="2"/>
        </w:rPr>
      </w:pPr>
      <w:r>
        <w:rPr>
          <w:rFonts w:hint="eastAsia"/>
          <w:szCs w:val="2"/>
        </w:rPr>
        <w:t>三、常平海关</w:t>
      </w:r>
      <w:r>
        <w:rPr>
          <w:szCs w:val="2"/>
        </w:rPr>
        <w:t>（含缉私分局）2026</w:t>
      </w:r>
      <w:r>
        <w:rPr>
          <w:rFonts w:hint="eastAsia"/>
          <w:szCs w:val="2"/>
        </w:rPr>
        <w:t>年度公务车辆保险项目要求</w:t>
      </w:r>
    </w:p>
    <w:p>
      <w:pPr>
        <w:jc w:val="left"/>
        <w:rPr>
          <w:szCs w:val="2"/>
        </w:rPr>
      </w:pPr>
      <w:r>
        <w:rPr>
          <w:rFonts w:hint="eastAsia"/>
          <w:szCs w:val="2"/>
        </w:rPr>
        <w:t>（一）车损险、第三者责任险</w:t>
      </w:r>
      <w:r>
        <w:rPr>
          <w:szCs w:val="2"/>
        </w:rPr>
        <w:t>300</w:t>
      </w:r>
      <w:r>
        <w:rPr>
          <w:rFonts w:hint="eastAsia"/>
          <w:szCs w:val="2"/>
        </w:rPr>
        <w:t>万元、车上人员责任险</w:t>
      </w:r>
      <w:r>
        <w:rPr>
          <w:szCs w:val="2"/>
        </w:rPr>
        <w:t>3</w:t>
      </w:r>
      <w:r>
        <w:rPr>
          <w:rFonts w:hint="eastAsia"/>
          <w:szCs w:val="2"/>
        </w:rPr>
        <w:t>万</w:t>
      </w:r>
      <w:r>
        <w:rPr>
          <w:szCs w:val="2"/>
        </w:rPr>
        <w:t>/</w:t>
      </w:r>
      <w:r>
        <w:rPr>
          <w:rFonts w:hint="eastAsia"/>
          <w:szCs w:val="2"/>
        </w:rPr>
        <w:t>座、医保外用药附加险、交强险。车船税由供应商按实际发生额进行代购。车损险应包括：机动车损失保险、玻璃单独破碎险、盗抢险、发动机涉水险、自燃险、车损无法找到第三方、不计免赔。</w:t>
      </w:r>
    </w:p>
    <w:p>
      <w:pPr>
        <w:jc w:val="left"/>
        <w:rPr>
          <w:szCs w:val="2"/>
        </w:rPr>
      </w:pPr>
      <w:r>
        <w:rPr>
          <w:rFonts w:hint="eastAsia"/>
          <w:szCs w:val="2"/>
        </w:rPr>
        <w:t>（二）常平海关公务车辆有变动的，以实际核定车辆数量及实际出单为准。</w:t>
      </w:r>
    </w:p>
    <w:p>
      <w:pPr>
        <w:jc w:val="left"/>
        <w:rPr>
          <w:szCs w:val="2"/>
        </w:rPr>
      </w:pPr>
      <w:r>
        <w:rPr>
          <w:rFonts w:hint="eastAsia"/>
          <w:szCs w:val="2"/>
        </w:rPr>
        <w:t>四、报价要求</w:t>
      </w:r>
    </w:p>
    <w:p>
      <w:pPr>
        <w:jc w:val="left"/>
        <w:rPr>
          <w:szCs w:val="2"/>
        </w:rPr>
      </w:pPr>
      <w:r>
        <w:rPr>
          <w:rFonts w:hint="eastAsia"/>
          <w:szCs w:val="2"/>
        </w:rPr>
        <w:t>（一）本项目报价形式为自主定价系数报价，供应商所报自主定价系数应当是唯一的、固定的，否则视为无效响应。（供应商所报最终自主定价系数必须在中国银行保险监督管理委员会所批准的范围内且不能与国家及地方有关法律抵触，否则由此产生的损失和法律责任由供应商自行承担。）</w:t>
      </w:r>
    </w:p>
    <w:p>
      <w:pPr>
        <w:jc w:val="left"/>
        <w:rPr>
          <w:szCs w:val="2"/>
        </w:rPr>
      </w:pPr>
      <w:r>
        <w:rPr>
          <w:rFonts w:hint="eastAsia"/>
          <w:szCs w:val="2"/>
        </w:rPr>
        <w:t>（一）供应商代为购买项目中的汽车交通事故责任强制保险及缴纳车船税，收费须按中国银行保险监督管理委员会制定的最新版《机动车交通事故责任强制保险费率方案》、《广东省机动车船税代收缴管理办法》和车船税税目税费表的统一规定执行，与所报自主定价系数无关，供应商不得收取额外费用。</w:t>
      </w:r>
    </w:p>
    <w:p>
      <w:pPr>
        <w:jc w:val="left"/>
        <w:rPr>
          <w:szCs w:val="2"/>
        </w:rPr>
      </w:pPr>
      <w:r>
        <w:rPr>
          <w:rFonts w:hint="eastAsia"/>
          <w:szCs w:val="2"/>
        </w:rPr>
        <w:t>（二）供应商对项目中车辆的商业保险按《中国保险行业协会机动车综合商业保险示范条款》</w:t>
      </w:r>
      <w:r>
        <w:rPr>
          <w:szCs w:val="2"/>
        </w:rPr>
        <w:t>、</w:t>
      </w:r>
      <w:r>
        <w:rPr>
          <w:rFonts w:hint="eastAsia"/>
          <w:szCs w:val="2"/>
        </w:rPr>
        <w:t>《中国保险行业协会特种车综合商业保险示范条款》</w:t>
      </w:r>
      <w:r>
        <w:rPr>
          <w:szCs w:val="2"/>
        </w:rPr>
        <w:t>(</w:t>
      </w:r>
      <w:r>
        <w:rPr>
          <w:rFonts w:hint="eastAsia"/>
          <w:szCs w:val="2"/>
        </w:rPr>
        <w:t>以最新版本为准</w:t>
      </w:r>
      <w:r>
        <w:rPr>
          <w:szCs w:val="2"/>
        </w:rPr>
        <w:t>)</w:t>
      </w:r>
      <w:r>
        <w:rPr>
          <w:rFonts w:hint="eastAsia"/>
          <w:szCs w:val="2"/>
        </w:rPr>
        <w:t>的规定执行，具体费率基准以在中国银行保险监督管理委员会网站查询为准。</w:t>
      </w:r>
    </w:p>
    <w:p>
      <w:pPr>
        <w:jc w:val="left"/>
        <w:rPr>
          <w:szCs w:val="2"/>
        </w:rPr>
      </w:pPr>
      <w:r>
        <w:rPr>
          <w:rFonts w:hint="eastAsia"/>
          <w:szCs w:val="2"/>
        </w:rPr>
        <w:t>五、付款方式和付款进度</w:t>
      </w:r>
    </w:p>
    <w:p>
      <w:pPr>
        <w:jc w:val="left"/>
        <w:rPr>
          <w:szCs w:val="2"/>
        </w:rPr>
      </w:pPr>
      <w:r>
        <w:rPr>
          <w:rFonts w:hint="eastAsia"/>
          <w:szCs w:val="2"/>
        </w:rPr>
        <w:t>（一）成交供应商应于公务车辆保险到期前</w:t>
      </w:r>
      <w:r>
        <w:rPr>
          <w:szCs w:val="2"/>
        </w:rPr>
        <w:t>30</w:t>
      </w:r>
      <w:r>
        <w:rPr>
          <w:rFonts w:hint="eastAsia"/>
          <w:szCs w:val="2"/>
        </w:rPr>
        <w:t>日内，向采购人出具所有被保车辆的保险费清单和缴款通知书。</w:t>
      </w:r>
    </w:p>
    <w:p>
      <w:pPr>
        <w:jc w:val="left"/>
        <w:rPr>
          <w:szCs w:val="2"/>
        </w:rPr>
      </w:pPr>
      <w:r>
        <w:rPr>
          <w:rFonts w:hint="eastAsia"/>
          <w:szCs w:val="2"/>
        </w:rPr>
        <w:t>（二）采购人在收到保险费清单和缴费通知书后，办理保费划账到保险公司指定账户，保险公司在收到款项后</w:t>
      </w:r>
      <w:r>
        <w:rPr>
          <w:szCs w:val="2"/>
        </w:rPr>
        <w:t>2</w:t>
      </w:r>
      <w:r>
        <w:rPr>
          <w:rFonts w:hint="eastAsia"/>
          <w:szCs w:val="2"/>
        </w:rPr>
        <w:t>个工作日内完成保单打印及送单工作。</w:t>
      </w:r>
    </w:p>
    <w:p>
      <w:pPr>
        <w:jc w:val="left"/>
        <w:rPr>
          <w:szCs w:val="2"/>
        </w:rPr>
      </w:pPr>
      <w:r>
        <w:rPr>
          <w:rFonts w:hint="eastAsia"/>
          <w:szCs w:val="2"/>
        </w:rPr>
        <w:t>（三）保费计算方法：车辆保险价格</w:t>
      </w:r>
      <w:r>
        <w:rPr>
          <w:szCs w:val="2"/>
        </w:rPr>
        <w:t>=</w:t>
      </w:r>
      <w:r>
        <w:rPr>
          <w:rFonts w:hint="eastAsia"/>
          <w:szCs w:val="2"/>
        </w:rPr>
        <w:t>商业保险基准保费×无赔款优待系数（</w:t>
      </w:r>
      <w:r>
        <w:rPr>
          <w:szCs w:val="2"/>
        </w:rPr>
        <w:t>NCD)</w:t>
      </w:r>
      <w:r>
        <w:rPr>
          <w:rFonts w:hint="eastAsia"/>
          <w:szCs w:val="2"/>
        </w:rPr>
        <w:t>×自主定价系数×交通违法系数</w:t>
      </w:r>
      <w:r>
        <w:rPr>
          <w:szCs w:val="2"/>
        </w:rPr>
        <w:t>+</w:t>
      </w:r>
      <w:r>
        <w:rPr>
          <w:rFonts w:hint="eastAsia"/>
          <w:szCs w:val="2"/>
        </w:rPr>
        <w:t>交强险基准保费×费率浮动比率</w:t>
      </w:r>
      <w:r>
        <w:rPr>
          <w:szCs w:val="2"/>
        </w:rPr>
        <w:t>+</w:t>
      </w:r>
      <w:r>
        <w:rPr>
          <w:rFonts w:hint="eastAsia"/>
          <w:szCs w:val="2"/>
        </w:rPr>
        <w:t>车船税</w:t>
      </w:r>
    </w:p>
    <w:p>
      <w:pPr>
        <w:jc w:val="left"/>
        <w:rPr>
          <w:szCs w:val="2"/>
        </w:rPr>
      </w:pPr>
      <w:r>
        <w:rPr>
          <w:rFonts w:hint="eastAsia"/>
          <w:szCs w:val="2"/>
        </w:rPr>
        <w:t>六、保险期限</w:t>
      </w:r>
    </w:p>
    <w:p>
      <w:pPr>
        <w:jc w:val="left"/>
        <w:rPr>
          <w:szCs w:val="2"/>
        </w:rPr>
      </w:pPr>
      <w:r>
        <w:rPr>
          <w:rFonts w:hint="eastAsia"/>
          <w:szCs w:val="2"/>
        </w:rPr>
        <w:t>投保服务期限为：签订合同起</w:t>
      </w:r>
      <w:r>
        <w:rPr>
          <w:szCs w:val="2"/>
        </w:rPr>
        <w:t>1</w:t>
      </w:r>
      <w:r>
        <w:rPr>
          <w:rFonts w:hint="eastAsia"/>
          <w:szCs w:val="2"/>
        </w:rPr>
        <w:t>年。合同有效期随服务期结束或到达预算金额而自动终止（以先到者为准）。</w:t>
      </w:r>
    </w:p>
    <w:p>
      <w:pPr>
        <w:jc w:val="left"/>
        <w:rPr>
          <w:szCs w:val="2"/>
        </w:rPr>
      </w:pPr>
      <w:r>
        <w:rPr>
          <w:rFonts w:hint="eastAsia"/>
          <w:szCs w:val="2"/>
        </w:rPr>
        <w:t>七、车辆信息</w:t>
      </w:r>
    </w:p>
    <w:p>
      <w:pPr>
        <w:jc w:val="left"/>
        <w:rPr>
          <w:szCs w:val="2"/>
        </w:rPr>
      </w:pPr>
      <w:r>
        <w:rPr>
          <w:szCs w:val="2"/>
        </w:rPr>
        <w:t>（一）常平海关车辆信息：</w:t>
      </w:r>
    </w:p>
    <w:tbl>
      <w:tblPr>
        <w:jc w:val="left"/>
        <w:tblInd w:w="-203" w:type="dxa"/>
        <w:tblW w:w="9434"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953"/>
        <w:gridCol w:w="1775"/>
        <w:gridCol w:w="2333"/>
        <w:gridCol w:w="2767"/>
        <w:gridCol w:w="1605"/>
      </w:tblGrid>
      <w:tr>
        <w:trPr>
          <w:trHeight w:val="359"/>
        </w:trPr>
        <w:tc>
          <w:tcPr>
            <w:tcW w:w="953" w:type="dxa"/>
            <w:vMerge w:val="restart"/>
            <w:tcBorders>
              <w:top w:val="single" w:sz="6" w:space="0" w:color="auto"/>
              <w:left w:val="single" w:sz="6" w:space="0" w:color="auto"/>
              <w:bottom w:val="single" w:sz="6" w:space="0" w:color="auto"/>
              <w:right w:val="single" w:sz="6" w:space="0" w:color="auto"/>
            </w:tcBorders>
            <w:noWrap/>
            <w:vAlign w:val="center"/>
          </w:tcPr>
          <w:p>
            <w:pPr>
              <w:spacing w:line="360" w:lineRule="exact"/>
              <w:jc w:val="center"/>
              <w:rPr>
                <w:rFonts w:cs="宋体"/>
                <w:b/>
                <w:szCs w:val="2"/>
              </w:rPr>
            </w:pPr>
            <w:r>
              <w:rPr>
                <w:rFonts w:cs="宋体" w:hint="eastAsia"/>
                <w:b/>
                <w:szCs w:val="2"/>
              </w:rPr>
              <w:t>序号</w:t>
            </w:r>
          </w:p>
        </w:tc>
        <w:tc>
          <w:tcPr>
            <w:tcW w:w="1775" w:type="dxa"/>
            <w:vMerge w:val="restart"/>
            <w:tcBorders>
              <w:top w:val="single" w:sz="6" w:space="0" w:color="auto"/>
              <w:left w:val="single" w:sz="6" w:space="0" w:color="auto"/>
              <w:bottom w:val="single" w:sz="6" w:space="0" w:color="auto"/>
              <w:right w:val="single" w:sz="6" w:space="0" w:color="auto"/>
            </w:tcBorders>
            <w:noWrap/>
            <w:vAlign w:val="center"/>
          </w:tcPr>
          <w:p>
            <w:pPr>
              <w:spacing w:line="360" w:lineRule="exact"/>
              <w:jc w:val="center"/>
              <w:rPr>
                <w:rFonts w:cs="宋体"/>
                <w:b/>
                <w:szCs w:val="2"/>
              </w:rPr>
            </w:pPr>
            <w:r>
              <w:rPr>
                <w:rFonts w:cs="宋体" w:hint="eastAsia"/>
                <w:b/>
                <w:szCs w:val="2"/>
              </w:rPr>
              <w:t>车牌</w:t>
            </w:r>
          </w:p>
        </w:tc>
        <w:tc>
          <w:tcPr>
            <w:tcW w:w="2333" w:type="dxa"/>
            <w:vMerge w:val="restart"/>
            <w:tcBorders>
              <w:top w:val="single" w:sz="6" w:space="0" w:color="auto"/>
              <w:left w:val="single" w:sz="6" w:space="0" w:color="auto"/>
              <w:bottom w:val="single" w:sz="6" w:space="0" w:color="auto"/>
              <w:right w:val="single" w:sz="6" w:space="0" w:color="auto"/>
            </w:tcBorders>
            <w:noWrap/>
            <w:vAlign w:val="center"/>
          </w:tcPr>
          <w:p>
            <w:pPr>
              <w:spacing w:line="360" w:lineRule="exact"/>
              <w:jc w:val="center"/>
              <w:rPr>
                <w:rFonts w:cs="宋体"/>
                <w:b/>
                <w:szCs w:val="2"/>
              </w:rPr>
            </w:pPr>
            <w:r>
              <w:rPr>
                <w:rFonts w:cs="宋体" w:hint="eastAsia"/>
                <w:b/>
                <w:szCs w:val="2"/>
              </w:rPr>
              <w:t>车主</w:t>
            </w:r>
          </w:p>
        </w:tc>
        <w:tc>
          <w:tcPr>
            <w:tcW w:w="4372" w:type="dxa"/>
            <w:gridSpan w:val="2"/>
            <w:tcBorders>
              <w:top w:val="single" w:sz="6" w:space="0" w:color="auto"/>
              <w:left w:val="single" w:sz="6" w:space="0" w:color="auto"/>
              <w:bottom w:val="single" w:sz="6" w:space="0" w:color="auto"/>
              <w:right w:val="single" w:sz="6" w:space="0" w:color="auto"/>
            </w:tcBorders>
            <w:noWrap/>
            <w:vAlign w:val="center"/>
          </w:tcPr>
          <w:p>
            <w:pPr>
              <w:spacing w:line="360" w:lineRule="exact"/>
              <w:jc w:val="center"/>
              <w:rPr>
                <w:rFonts w:cs="宋体"/>
                <w:b/>
                <w:szCs w:val="2"/>
              </w:rPr>
            </w:pPr>
            <w:r>
              <w:rPr>
                <w:rFonts w:cs="宋体" w:hint="eastAsia"/>
                <w:b/>
                <w:szCs w:val="2"/>
              </w:rPr>
              <w:t>车</w:t>
            </w:r>
            <w:r>
              <w:rPr>
                <w:rFonts w:cs="宋体"/>
                <w:b/>
                <w:szCs w:val="2"/>
              </w:rPr>
              <w:t xml:space="preserve">  </w:t>
            </w:r>
            <w:r>
              <w:rPr>
                <w:rFonts w:cs="宋体" w:hint="eastAsia"/>
                <w:b/>
                <w:szCs w:val="2"/>
              </w:rPr>
              <w:t>辆</w:t>
            </w:r>
            <w:r>
              <w:rPr>
                <w:rFonts w:cs="宋体"/>
                <w:b/>
                <w:szCs w:val="2"/>
              </w:rPr>
              <w:t xml:space="preserve">  </w:t>
            </w:r>
            <w:r>
              <w:rPr>
                <w:rFonts w:cs="宋体" w:hint="eastAsia"/>
                <w:b/>
                <w:szCs w:val="2"/>
              </w:rPr>
              <w:t>资</w:t>
            </w:r>
            <w:r>
              <w:rPr>
                <w:rFonts w:cs="宋体"/>
                <w:b/>
                <w:szCs w:val="2"/>
              </w:rPr>
              <w:t xml:space="preserve">  </w:t>
            </w:r>
            <w:r>
              <w:rPr>
                <w:rFonts w:cs="宋体" w:hint="eastAsia"/>
                <w:b/>
                <w:szCs w:val="2"/>
              </w:rPr>
              <w:t>料</w:t>
            </w:r>
          </w:p>
        </w:tc>
      </w:tr>
      <w:tr>
        <w:trPr>
          <w:trHeight w:val="479"/>
        </w:trPr>
        <w:tc>
          <w:tcPr>
            <w:tcW w:w="953" w:type="dxa"/>
            <w:vMerge/>
            <w:tcBorders>
              <w:top w:val="single" w:sz="6" w:space="0" w:color="auto"/>
              <w:left w:val="single" w:sz="6" w:space="0" w:color="auto"/>
              <w:bottom w:val="single" w:sz="6" w:space="0" w:color="auto"/>
              <w:right w:val="single" w:sz="6" w:space="0" w:color="auto"/>
            </w:tcBorders>
            <w:noWrap/>
            <w:vAlign w:val="center"/>
          </w:tcPr>
          <w:p/>
        </w:tc>
        <w:tc>
          <w:tcPr>
            <w:tcW w:w="1775" w:type="dxa"/>
            <w:vMerge/>
            <w:tcBorders>
              <w:top w:val="single" w:sz="6" w:space="0" w:color="auto"/>
              <w:left w:val="single" w:sz="6" w:space="0" w:color="auto"/>
              <w:bottom w:val="single" w:sz="6" w:space="0" w:color="auto"/>
              <w:right w:val="single" w:sz="6" w:space="0" w:color="auto"/>
            </w:tcBorders>
            <w:noWrap/>
            <w:vAlign w:val="center"/>
          </w:tcPr>
          <w:p/>
        </w:tc>
        <w:tc>
          <w:tcPr>
            <w:tcW w:w="2333" w:type="dxa"/>
            <w:vMerge/>
            <w:tcBorders>
              <w:top w:val="single" w:sz="6" w:space="0" w:color="auto"/>
              <w:left w:val="single" w:sz="6" w:space="0" w:color="auto"/>
              <w:bottom w:val="single" w:sz="6" w:space="0" w:color="auto"/>
              <w:right w:val="single" w:sz="6" w:space="0" w:color="auto"/>
            </w:tcBorders>
            <w:noWrap/>
            <w:vAlign w:val="center"/>
          </w:tcP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center"/>
              <w:rPr>
                <w:rFonts w:cs="宋体"/>
                <w:b/>
                <w:szCs w:val="2"/>
              </w:rPr>
            </w:pPr>
            <w:r>
              <w:rPr>
                <w:rFonts w:cs="宋体" w:hint="eastAsia"/>
                <w:b/>
                <w:szCs w:val="2"/>
              </w:rPr>
              <w:t>厂牌型号</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center"/>
              <w:rPr>
                <w:rFonts w:cs="宋体"/>
                <w:b/>
                <w:szCs w:val="2"/>
              </w:rPr>
            </w:pPr>
            <w:r>
              <w:rPr>
                <w:rFonts w:cs="宋体" w:hint="eastAsia"/>
                <w:b/>
                <w:szCs w:val="2"/>
              </w:rPr>
              <w:t>限座</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1</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AL5539</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柯斯达</w:t>
            </w:r>
            <w:r>
              <w:rPr>
                <w:szCs w:val="2"/>
              </w:rPr>
              <w:t>SCT6703TRB53L</w:t>
            </w:r>
            <w:r>
              <w:rPr>
                <w:rFonts w:cs="宋体" w:hint="eastAsia"/>
                <w:szCs w:val="2"/>
              </w:rPr>
              <w:t>客车</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23</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2</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AK0753</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柯斯达牌</w:t>
            </w:r>
            <w:r>
              <w:rPr>
                <w:szCs w:val="2"/>
              </w:rPr>
              <w:t>SCT6703TRB53L</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23</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3</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SQ7070</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中华人民共和国常平海关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金龙</w:t>
            </w:r>
            <w:r>
              <w:rPr>
                <w:szCs w:val="2"/>
              </w:rPr>
              <w:t>XMQ6706DYD5D</w:t>
            </w:r>
            <w:r>
              <w:rPr>
                <w:rFonts w:cs="宋体" w:hint="eastAsia"/>
                <w:szCs w:val="2"/>
              </w:rPr>
              <w:t>客车</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23</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4</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SY9381</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中华人民共和国常平海关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金杯</w:t>
            </w:r>
            <w:r>
              <w:rPr>
                <w:szCs w:val="2"/>
              </w:rPr>
              <w:t>SY6521X4S3BG</w:t>
            </w:r>
            <w:r>
              <w:rPr>
                <w:rFonts w:cs="宋体" w:hint="eastAsia"/>
                <w:szCs w:val="2"/>
              </w:rPr>
              <w:t>轻型客车</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11</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5</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AN1P81</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金杯</w:t>
            </w:r>
            <w:r>
              <w:rPr>
                <w:szCs w:val="2"/>
              </w:rPr>
              <w:t>SY6521G2S1BG</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9</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6</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A763SK</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别克牌</w:t>
            </w:r>
            <w:r>
              <w:rPr>
                <w:szCs w:val="2"/>
              </w:rPr>
              <w:t>SGM6530ATA</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7</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7</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AH559G</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别克</w:t>
            </w:r>
            <w:r>
              <w:rPr>
                <w:szCs w:val="2"/>
              </w:rPr>
              <w:t>SGM6527AT</w:t>
            </w:r>
            <w:r>
              <w:rPr>
                <w:rFonts w:cs="宋体" w:hint="eastAsia"/>
                <w:szCs w:val="2"/>
              </w:rPr>
              <w:t>旅行车</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7</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8</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SJ7P61</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中华人民共和国常平海关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传祺</w:t>
            </w:r>
            <w:r>
              <w:rPr>
                <w:szCs w:val="2"/>
              </w:rPr>
              <w:t>GAC6510MDA6C</w:t>
            </w:r>
            <w:r>
              <w:rPr>
                <w:rFonts w:cs="宋体" w:hint="eastAsia"/>
                <w:szCs w:val="2"/>
              </w:rPr>
              <w:t>多用途乘用车</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7</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9</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AH109G</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丰田</w:t>
            </w:r>
            <w:r>
              <w:rPr>
                <w:szCs w:val="2"/>
              </w:rPr>
              <w:t>GTM7200GB</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5</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10</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AGR336</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金旅</w:t>
            </w:r>
            <w:r>
              <w:rPr>
                <w:szCs w:val="2"/>
              </w:rPr>
              <w:t>XML6947J13</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39</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11</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AH532G</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丰田牌</w:t>
            </w:r>
            <w:r>
              <w:rPr>
                <w:szCs w:val="2"/>
              </w:rPr>
              <w:t>TV6460GLX-1</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5</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12</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粤</w:t>
            </w:r>
            <w:r>
              <w:rPr>
                <w:szCs w:val="2"/>
              </w:rPr>
              <w:t>AN0P91</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中华人民共和国黄埔海关</w:t>
            </w: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丰田牌</w:t>
            </w:r>
            <w:r>
              <w:rPr>
                <w:szCs w:val="2"/>
              </w:rPr>
              <w:t>TV6460GLX-1</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5</w:t>
            </w:r>
            <w:r>
              <w:rPr>
                <w:rFonts w:cs="宋体" w:hint="eastAsia"/>
                <w:szCs w:val="2"/>
              </w:rPr>
              <w:t>座客车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szCs w:val="2"/>
              </w:rPr>
              <w:t>13</w:t>
            </w:r>
          </w:p>
        </w:tc>
        <w:tc>
          <w:tcPr>
            <w:tcW w:w="177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rFonts w:cs="宋体" w:hint="eastAsia"/>
                <w:szCs w:val="2"/>
              </w:rPr>
              <w:t>新车</w:t>
            </w:r>
          </w:p>
        </w:tc>
        <w:tc>
          <w:tcPr>
            <w:tcW w:w="2333"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p>
        </w:tc>
        <w:tc>
          <w:tcPr>
            <w:tcW w:w="2767"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szCs w:val="2"/>
              </w:rPr>
            </w:pPr>
            <w:r>
              <w:rPr>
                <w:rFonts w:hint="eastAsia"/>
                <w:szCs w:val="2"/>
              </w:rPr>
              <w:t>荣威牌</w:t>
            </w:r>
            <w:r>
              <w:rPr>
                <w:szCs w:val="2"/>
              </w:rPr>
              <w:t>CSA6501ZFPHEV</w:t>
            </w:r>
          </w:p>
        </w:tc>
        <w:tc>
          <w:tcPr>
            <w:tcW w:w="1605" w:type="dxa"/>
            <w:tcBorders>
              <w:top w:val="single" w:sz="6" w:space="0" w:color="auto"/>
              <w:left w:val="single" w:sz="6" w:space="0" w:color="auto"/>
              <w:bottom w:val="single" w:sz="6" w:space="0" w:color="auto"/>
              <w:right w:val="single" w:sz="6" w:space="0" w:color="auto"/>
            </w:tcBorders>
            <w:noWrap/>
            <w:vAlign w:val="center"/>
          </w:tcPr>
          <w:p>
            <w:pPr>
              <w:spacing w:line="360" w:lineRule="exact"/>
              <w:jc w:val="left"/>
              <w:rPr>
                <w:rFonts w:cs="宋体"/>
                <w:szCs w:val="2"/>
              </w:rPr>
            </w:pPr>
            <w:r>
              <w:rPr>
                <w:szCs w:val="2"/>
              </w:rPr>
              <w:t>7</w:t>
            </w:r>
            <w:r>
              <w:rPr>
                <w:rFonts w:cs="宋体" w:hint="eastAsia"/>
                <w:szCs w:val="2"/>
              </w:rPr>
              <w:t>座客车</w:t>
            </w:r>
          </w:p>
        </w:tc>
      </w:tr>
    </w:tbl>
    <w:p>
      <w:pPr>
        <w:jc w:val="left"/>
      </w:pPr>
      <w:r>
        <w:t>（二）缉私分局车辆信息：</w:t>
      </w:r>
    </w:p>
    <w:tbl>
      <w:tblPr>
        <w:jc w:val="left"/>
        <w:tblInd w:w="-203" w:type="dxa"/>
        <w:tblW w:w="9433"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953"/>
        <w:gridCol w:w="1775"/>
        <w:gridCol w:w="2333"/>
        <w:gridCol w:w="2684"/>
        <w:gridCol w:w="1688"/>
      </w:tblGrid>
      <w:tr>
        <w:trPr>
          <w:trHeight w:val="359"/>
        </w:trPr>
        <w:tc>
          <w:tcPr>
            <w:tcW w:w="953" w:type="dxa"/>
            <w:vMerge w:val="restart"/>
            <w:tcBorders>
              <w:top w:val="single" w:sz="6" w:space="0" w:color="auto"/>
              <w:left w:val="single" w:sz="6" w:space="0" w:color="auto"/>
              <w:bottom w:val="single" w:sz="6" w:space="0" w:color="auto"/>
              <w:right w:val="single" w:sz="6" w:space="0" w:color="auto"/>
            </w:tcBorders>
            <w:noWrap/>
            <w:vAlign w:val="center"/>
          </w:tcPr>
          <w:p>
            <w:pPr>
              <w:pStyle w:val="159"/>
              <w:spacing w:line="360" w:lineRule="exact"/>
              <w:jc w:val="center"/>
              <w:rPr>
                <w:rFonts w:cs="宋体"/>
                <w:b/>
                <w:szCs w:val="2"/>
              </w:rPr>
            </w:pPr>
            <w:r>
              <w:rPr>
                <w:rFonts w:cs="宋体" w:hint="eastAsia"/>
                <w:b/>
                <w:szCs w:val="2"/>
              </w:rPr>
              <w:t>序号</w:t>
            </w:r>
          </w:p>
        </w:tc>
        <w:tc>
          <w:tcPr>
            <w:tcW w:w="1775" w:type="dxa"/>
            <w:vMerge w:val="restart"/>
            <w:tcBorders>
              <w:top w:val="single" w:sz="6" w:space="0" w:color="auto"/>
              <w:left w:val="single" w:sz="6" w:space="0" w:color="auto"/>
              <w:bottom w:val="single" w:sz="6" w:space="0" w:color="auto"/>
              <w:right w:val="single" w:sz="6" w:space="0" w:color="auto"/>
            </w:tcBorders>
            <w:noWrap/>
            <w:vAlign w:val="center"/>
          </w:tcPr>
          <w:p>
            <w:pPr>
              <w:pStyle w:val="158"/>
              <w:spacing w:line="360" w:lineRule="exact"/>
              <w:jc w:val="center"/>
              <w:rPr>
                <w:rFonts w:cs="宋体"/>
                <w:b/>
                <w:szCs w:val="2"/>
              </w:rPr>
            </w:pPr>
            <w:r>
              <w:rPr>
                <w:rFonts w:cs="宋体" w:hint="eastAsia"/>
                <w:b/>
                <w:szCs w:val="2"/>
              </w:rPr>
              <w:t>车牌</w:t>
            </w:r>
          </w:p>
        </w:tc>
        <w:tc>
          <w:tcPr>
            <w:tcW w:w="2333" w:type="dxa"/>
            <w:vMerge w:val="restart"/>
            <w:tcBorders>
              <w:top w:val="single" w:sz="6" w:space="0" w:color="auto"/>
              <w:left w:val="single" w:sz="6" w:space="0" w:color="auto"/>
              <w:bottom w:val="single" w:sz="6" w:space="0" w:color="auto"/>
              <w:right w:val="single" w:sz="6" w:space="0" w:color="auto"/>
            </w:tcBorders>
            <w:noWrap/>
            <w:vAlign w:val="center"/>
          </w:tcPr>
          <w:p>
            <w:pPr>
              <w:pStyle w:val="157"/>
              <w:spacing w:line="360" w:lineRule="exact"/>
              <w:jc w:val="center"/>
              <w:rPr>
                <w:rFonts w:cs="宋体"/>
                <w:b/>
                <w:szCs w:val="2"/>
              </w:rPr>
            </w:pPr>
            <w:r>
              <w:rPr>
                <w:rFonts w:cs="宋体" w:hint="eastAsia"/>
                <w:b/>
                <w:szCs w:val="2"/>
              </w:rPr>
              <w:t>车主</w:t>
            </w:r>
          </w:p>
        </w:tc>
        <w:tc>
          <w:tcPr>
            <w:tcW w:w="4372" w:type="dxa"/>
            <w:gridSpan w:val="2"/>
            <w:tcBorders>
              <w:top w:val="single" w:sz="6" w:space="0" w:color="auto"/>
              <w:left w:val="single" w:sz="6" w:space="0" w:color="auto"/>
              <w:bottom w:val="single" w:sz="6" w:space="0" w:color="auto"/>
              <w:right w:val="single" w:sz="6" w:space="0" w:color="auto"/>
            </w:tcBorders>
            <w:noWrap/>
            <w:vAlign w:val="center"/>
          </w:tcPr>
          <w:p>
            <w:pPr>
              <w:pStyle w:val="156"/>
              <w:spacing w:line="360" w:lineRule="exact"/>
              <w:jc w:val="center"/>
              <w:rPr>
                <w:rFonts w:cs="宋体"/>
                <w:b/>
                <w:szCs w:val="2"/>
              </w:rPr>
            </w:pPr>
            <w:r>
              <w:rPr>
                <w:rFonts w:cs="宋体" w:hint="eastAsia"/>
                <w:b/>
                <w:szCs w:val="2"/>
              </w:rPr>
              <w:t>车</w:t>
            </w:r>
            <w:r>
              <w:rPr>
                <w:rFonts w:cs="宋体"/>
                <w:b/>
                <w:szCs w:val="2"/>
              </w:rPr>
              <w:t xml:space="preserve">  </w:t>
            </w:r>
            <w:r>
              <w:rPr>
                <w:rFonts w:cs="宋体" w:hint="eastAsia"/>
                <w:b/>
                <w:szCs w:val="2"/>
              </w:rPr>
              <w:t>辆</w:t>
            </w:r>
            <w:r>
              <w:rPr>
                <w:rFonts w:cs="宋体"/>
                <w:b/>
                <w:szCs w:val="2"/>
              </w:rPr>
              <w:t xml:space="preserve">  </w:t>
            </w:r>
            <w:r>
              <w:rPr>
                <w:rFonts w:cs="宋体" w:hint="eastAsia"/>
                <w:b/>
                <w:szCs w:val="2"/>
              </w:rPr>
              <w:t>资</w:t>
            </w:r>
            <w:r>
              <w:rPr>
                <w:rFonts w:cs="宋体"/>
                <w:b/>
                <w:szCs w:val="2"/>
              </w:rPr>
              <w:t xml:space="preserve">  </w:t>
            </w:r>
            <w:r>
              <w:rPr>
                <w:rFonts w:cs="宋体" w:hint="eastAsia"/>
                <w:b/>
                <w:szCs w:val="2"/>
              </w:rPr>
              <w:t>料</w:t>
            </w:r>
          </w:p>
        </w:tc>
      </w:tr>
      <w:tr>
        <w:trPr>
          <w:trHeight w:val="479"/>
        </w:trPr>
        <w:tc>
          <w:tcPr>
            <w:tcW w:w="953" w:type="dxa"/>
            <w:vMerge/>
            <w:tcBorders>
              <w:top w:val="single" w:sz="6" w:space="0" w:color="auto"/>
              <w:left w:val="single" w:sz="6" w:space="0" w:color="auto"/>
              <w:bottom w:val="single" w:sz="6" w:space="0" w:color="auto"/>
              <w:right w:val="single" w:sz="6" w:space="0" w:color="auto"/>
            </w:tcBorders>
            <w:noWrap/>
            <w:vAlign w:val="center"/>
          </w:tcPr>
          <w:p/>
        </w:tc>
        <w:tc>
          <w:tcPr>
            <w:tcW w:w="1775" w:type="dxa"/>
            <w:vMerge/>
            <w:tcBorders>
              <w:top w:val="single" w:sz="6" w:space="0" w:color="auto"/>
              <w:left w:val="single" w:sz="6" w:space="0" w:color="auto"/>
              <w:bottom w:val="single" w:sz="6" w:space="0" w:color="auto"/>
              <w:right w:val="single" w:sz="6" w:space="0" w:color="auto"/>
            </w:tcBorders>
            <w:noWrap/>
            <w:vAlign w:val="center"/>
          </w:tcPr>
          <w:p/>
        </w:tc>
        <w:tc>
          <w:tcPr>
            <w:tcW w:w="2333" w:type="dxa"/>
            <w:vMerge/>
            <w:tcBorders>
              <w:top w:val="single" w:sz="6" w:space="0" w:color="auto"/>
              <w:left w:val="single" w:sz="6" w:space="0" w:color="auto"/>
              <w:bottom w:val="single" w:sz="6" w:space="0" w:color="auto"/>
              <w:right w:val="single" w:sz="6" w:space="0" w:color="auto"/>
            </w:tcBorders>
            <w:noWrap/>
            <w:vAlign w:val="center"/>
          </w:tcPr>
          <w:p/>
        </w:tc>
        <w:tc>
          <w:tcPr>
            <w:tcW w:w="2684" w:type="dxa"/>
            <w:tcBorders>
              <w:top w:val="single" w:sz="6" w:space="0" w:color="auto"/>
              <w:left w:val="single" w:sz="6" w:space="0" w:color="auto"/>
              <w:bottom w:val="single" w:sz="6" w:space="0" w:color="auto"/>
              <w:right w:val="single" w:sz="6" w:space="0" w:color="auto"/>
            </w:tcBorders>
            <w:noWrap/>
            <w:vAlign w:val="center"/>
          </w:tcPr>
          <w:p>
            <w:pPr>
              <w:pStyle w:val="155"/>
              <w:spacing w:line="360" w:lineRule="exact"/>
              <w:jc w:val="center"/>
              <w:rPr>
                <w:rFonts w:cs="宋体"/>
                <w:b/>
                <w:szCs w:val="2"/>
              </w:rPr>
            </w:pPr>
            <w:r>
              <w:rPr>
                <w:rFonts w:cs="宋体" w:hint="eastAsia"/>
                <w:b/>
                <w:szCs w:val="2"/>
              </w:rPr>
              <w:t>厂牌型号</w:t>
            </w:r>
          </w:p>
        </w:tc>
        <w:tc>
          <w:tcPr>
            <w:tcW w:w="1688" w:type="dxa"/>
            <w:tcBorders>
              <w:top w:val="single" w:sz="6" w:space="0" w:color="auto"/>
              <w:left w:val="single" w:sz="6" w:space="0" w:color="auto"/>
              <w:bottom w:val="single" w:sz="6" w:space="0" w:color="auto"/>
              <w:right w:val="single" w:sz="6" w:space="0" w:color="auto"/>
            </w:tcBorders>
            <w:noWrap/>
            <w:vAlign w:val="center"/>
          </w:tcPr>
          <w:p>
            <w:pPr>
              <w:pStyle w:val="154"/>
              <w:spacing w:line="360" w:lineRule="exact"/>
              <w:jc w:val="center"/>
              <w:rPr>
                <w:rFonts w:cs="宋体"/>
                <w:b/>
                <w:szCs w:val="2"/>
              </w:rPr>
            </w:pPr>
            <w:r>
              <w:rPr>
                <w:rFonts w:cs="宋体" w:hint="eastAsia"/>
                <w:b/>
                <w:szCs w:val="2"/>
              </w:rPr>
              <w:t>限座</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pStyle w:val="153"/>
              <w:spacing w:line="400" w:lineRule="exact"/>
              <w:jc w:val="left"/>
              <w:rPr>
                <w:color w:val="000000"/>
                <w:szCs w:val="32"/>
              </w:rPr>
            </w:pPr>
            <w:r>
              <w:rPr>
                <w:color w:val="000000"/>
                <w:szCs w:val="32"/>
              </w:rPr>
              <w:t>1</w:t>
            </w:r>
          </w:p>
        </w:tc>
        <w:tc>
          <w:tcPr>
            <w:tcW w:w="1775" w:type="dxa"/>
            <w:tcBorders>
              <w:top w:val="single" w:sz="6" w:space="0" w:color="auto"/>
              <w:left w:val="single" w:sz="6" w:space="0" w:color="auto"/>
              <w:bottom w:val="single" w:sz="6" w:space="0" w:color="auto"/>
              <w:right w:val="single" w:sz="6" w:space="0" w:color="auto"/>
            </w:tcBorders>
            <w:noWrap/>
            <w:vAlign w:val="center"/>
          </w:tcPr>
          <w:p>
            <w:pPr>
              <w:pStyle w:val="152"/>
              <w:spacing w:line="400" w:lineRule="exact"/>
              <w:jc w:val="left"/>
              <w:rPr>
                <w:rFonts w:ascii="方正仿宋_GBK" w:cs="宋体" w:hint="eastAsia"/>
                <w:color w:val="000000"/>
                <w:szCs w:val="32"/>
              </w:rPr>
            </w:pPr>
            <w:r>
              <w:rPr>
                <w:rFonts w:ascii="方正仿宋_GBK" w:cs="宋体" w:hint="eastAsia"/>
                <w:color w:val="000000"/>
                <w:szCs w:val="32"/>
              </w:rPr>
              <w:t>粤</w:t>
            </w:r>
            <w:r>
              <w:rPr>
                <w:color w:val="000000"/>
                <w:szCs w:val="32"/>
              </w:rPr>
              <w:t>O8399</w:t>
            </w:r>
            <w:r>
              <w:rPr>
                <w:rFonts w:ascii="方正仿宋_GBK" w:cs="宋体" w:hint="eastAsia"/>
                <w:color w:val="000000"/>
                <w:szCs w:val="32"/>
              </w:rPr>
              <w:t>警</w:t>
            </w:r>
          </w:p>
        </w:tc>
        <w:tc>
          <w:tcPr>
            <w:tcW w:w="2333" w:type="dxa"/>
            <w:tcBorders>
              <w:top w:val="single" w:sz="6" w:space="0" w:color="auto"/>
              <w:left w:val="single" w:sz="6" w:space="0" w:color="auto"/>
              <w:bottom w:val="single" w:sz="6" w:space="0" w:color="auto"/>
              <w:right w:val="single" w:sz="6" w:space="0" w:color="auto"/>
            </w:tcBorders>
            <w:noWrap/>
            <w:vAlign w:val="center"/>
          </w:tcPr>
          <w:p>
            <w:pPr>
              <w:pStyle w:val="151"/>
              <w:spacing w:line="400" w:lineRule="exact"/>
              <w:jc w:val="left"/>
              <w:rPr>
                <w:rFonts w:ascii="方正仿宋_GBK" w:cs="宋体" w:hint="eastAsia"/>
                <w:color w:val="000000"/>
                <w:szCs w:val="32"/>
              </w:rPr>
            </w:pPr>
            <w:r>
              <w:rPr>
                <w:rFonts w:ascii="方正仿宋_GBK" w:cs="宋体" w:hint="eastAsia"/>
                <w:color w:val="000000"/>
                <w:szCs w:val="32"/>
              </w:rPr>
              <w:t>中华人民共和国黄埔海关缉私局</w:t>
            </w:r>
          </w:p>
        </w:tc>
        <w:tc>
          <w:tcPr>
            <w:tcW w:w="2684" w:type="dxa"/>
            <w:tcBorders>
              <w:top w:val="single" w:sz="6" w:space="0" w:color="auto"/>
              <w:left w:val="single" w:sz="6" w:space="0" w:color="auto"/>
              <w:bottom w:val="single" w:sz="6" w:space="0" w:color="auto"/>
              <w:right w:val="single" w:sz="6" w:space="0" w:color="auto"/>
            </w:tcBorders>
            <w:noWrap/>
            <w:vAlign w:val="center"/>
          </w:tcPr>
          <w:p>
            <w:pPr>
              <w:pStyle w:val="150"/>
              <w:spacing w:line="400" w:lineRule="exact"/>
              <w:jc w:val="left"/>
              <w:rPr>
                <w:rFonts w:ascii="方正仿宋_GBK" w:cs="宋体" w:hint="eastAsia"/>
                <w:color w:val="000000"/>
                <w:szCs w:val="32"/>
              </w:rPr>
            </w:pPr>
            <w:r>
              <w:rPr>
                <w:rFonts w:ascii="方正仿宋_GBK" w:cs="宋体" w:hint="eastAsia"/>
                <w:color w:val="000000"/>
                <w:szCs w:val="32"/>
              </w:rPr>
              <w:t>别克牌</w:t>
            </w:r>
            <w:r>
              <w:rPr>
                <w:color w:val="000000"/>
                <w:szCs w:val="32"/>
              </w:rPr>
              <w:t>SGM6521UBA6</w:t>
            </w:r>
          </w:p>
        </w:tc>
        <w:tc>
          <w:tcPr>
            <w:tcW w:w="1688" w:type="dxa"/>
            <w:tcBorders>
              <w:top w:val="single" w:sz="6" w:space="0" w:color="auto"/>
              <w:left w:val="single" w:sz="6" w:space="0" w:color="auto"/>
              <w:bottom w:val="single" w:sz="6" w:space="0" w:color="auto"/>
              <w:right w:val="single" w:sz="6" w:space="0" w:color="auto"/>
            </w:tcBorders>
            <w:noWrap/>
            <w:vAlign w:val="center"/>
          </w:tcPr>
          <w:p>
            <w:pPr>
              <w:pStyle w:val="149"/>
              <w:spacing w:line="400" w:lineRule="exact"/>
              <w:jc w:val="left"/>
              <w:rPr>
                <w:rFonts w:ascii="方正仿宋_GBK" w:cs="宋体" w:hint="eastAsia"/>
                <w:color w:val="000000"/>
                <w:szCs w:val="32"/>
              </w:rPr>
            </w:pPr>
            <w:r>
              <w:rPr>
                <w:color w:val="000000"/>
                <w:szCs w:val="32"/>
              </w:rPr>
              <w:t>7</w:t>
            </w:r>
            <w:r>
              <w:rPr>
                <w:rFonts w:ascii="方正仿宋_GBK" w:cs="宋体" w:hint="eastAsia"/>
                <w:color w:val="000000"/>
                <w:szCs w:val="32"/>
              </w:rPr>
              <w:t>座小客车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pStyle w:val="148"/>
              <w:spacing w:line="400" w:lineRule="exact"/>
              <w:jc w:val="left"/>
              <w:rPr>
                <w:color w:val="000000"/>
                <w:szCs w:val="32"/>
              </w:rPr>
            </w:pPr>
            <w:r>
              <w:rPr>
                <w:color w:val="000000"/>
                <w:szCs w:val="32"/>
              </w:rPr>
              <w:t>2</w:t>
            </w:r>
          </w:p>
        </w:tc>
        <w:tc>
          <w:tcPr>
            <w:tcW w:w="1775" w:type="dxa"/>
            <w:tcBorders>
              <w:top w:val="single" w:sz="6" w:space="0" w:color="auto"/>
              <w:left w:val="single" w:sz="6" w:space="0" w:color="auto"/>
              <w:bottom w:val="single" w:sz="6" w:space="0" w:color="auto"/>
              <w:right w:val="single" w:sz="6" w:space="0" w:color="auto"/>
            </w:tcBorders>
            <w:noWrap/>
            <w:vAlign w:val="center"/>
          </w:tcPr>
          <w:p>
            <w:pPr>
              <w:pStyle w:val="147"/>
              <w:spacing w:line="400" w:lineRule="exact"/>
              <w:jc w:val="left"/>
              <w:rPr>
                <w:rFonts w:ascii="方正仿宋_GBK" w:cs="宋体" w:hint="eastAsia"/>
                <w:szCs w:val="32"/>
              </w:rPr>
            </w:pPr>
            <w:r>
              <w:rPr>
                <w:rFonts w:ascii="方正仿宋_GBK" w:cs="宋体" w:hint="eastAsia"/>
                <w:szCs w:val="32"/>
              </w:rPr>
              <w:t>粤</w:t>
            </w:r>
            <w:r>
              <w:rPr>
                <w:szCs w:val="32"/>
              </w:rPr>
              <w:t>A730G7</w:t>
            </w:r>
          </w:p>
        </w:tc>
        <w:tc>
          <w:tcPr>
            <w:tcW w:w="2333" w:type="dxa"/>
            <w:tcBorders>
              <w:top w:val="single" w:sz="6" w:space="0" w:color="auto"/>
              <w:left w:val="single" w:sz="6" w:space="0" w:color="auto"/>
              <w:bottom w:val="single" w:sz="6" w:space="0" w:color="auto"/>
              <w:right w:val="single" w:sz="6" w:space="0" w:color="auto"/>
            </w:tcBorders>
            <w:noWrap/>
            <w:vAlign w:val="center"/>
          </w:tcPr>
          <w:p>
            <w:pPr>
              <w:pStyle w:val="146"/>
              <w:spacing w:line="400" w:lineRule="exact"/>
              <w:jc w:val="left"/>
              <w:rPr>
                <w:rFonts w:ascii="方正仿宋_GBK" w:cs="宋体" w:hint="eastAsia"/>
                <w:color w:val="000000"/>
                <w:szCs w:val="32"/>
              </w:rPr>
            </w:pPr>
            <w:r>
              <w:rPr>
                <w:rFonts w:ascii="方正仿宋_GBK" w:cs="宋体" w:hint="eastAsia"/>
                <w:color w:val="000000"/>
                <w:szCs w:val="32"/>
              </w:rPr>
              <w:t>中华人民共和国黄埔海关</w:t>
            </w:r>
          </w:p>
        </w:tc>
        <w:tc>
          <w:tcPr>
            <w:tcW w:w="2684" w:type="dxa"/>
            <w:tcBorders>
              <w:top w:val="single" w:sz="6" w:space="0" w:color="auto"/>
              <w:left w:val="single" w:sz="6" w:space="0" w:color="auto"/>
              <w:bottom w:val="single" w:sz="6" w:space="0" w:color="auto"/>
              <w:right w:val="single" w:sz="6" w:space="0" w:color="auto"/>
            </w:tcBorders>
            <w:noWrap/>
            <w:vAlign w:val="center"/>
          </w:tcPr>
          <w:p>
            <w:pPr>
              <w:pStyle w:val="145"/>
              <w:spacing w:line="400" w:lineRule="exact"/>
              <w:jc w:val="left"/>
              <w:rPr>
                <w:rFonts w:ascii="方正仿宋_GBK" w:cs="宋体" w:hint="eastAsia"/>
                <w:szCs w:val="32"/>
              </w:rPr>
            </w:pPr>
            <w:r>
              <w:rPr>
                <w:rFonts w:ascii="方正仿宋_GBK" w:cs="宋体" w:hint="eastAsia"/>
                <w:szCs w:val="32"/>
              </w:rPr>
              <w:t>丰田凯美瑞</w:t>
            </w:r>
          </w:p>
        </w:tc>
        <w:tc>
          <w:tcPr>
            <w:tcW w:w="1688" w:type="dxa"/>
            <w:tcBorders>
              <w:top w:val="single" w:sz="6" w:space="0" w:color="auto"/>
              <w:left w:val="single" w:sz="6" w:space="0" w:color="auto"/>
              <w:bottom w:val="single" w:sz="6" w:space="0" w:color="auto"/>
              <w:right w:val="single" w:sz="6" w:space="0" w:color="auto"/>
            </w:tcBorders>
            <w:noWrap/>
            <w:vAlign w:val="center"/>
          </w:tcPr>
          <w:p>
            <w:pPr>
              <w:pStyle w:val="144"/>
              <w:spacing w:line="400" w:lineRule="exact"/>
              <w:jc w:val="left"/>
              <w:rPr>
                <w:rFonts w:ascii="方正仿宋_GBK" w:cs="宋体" w:hint="eastAsia"/>
                <w:color w:val="000000"/>
                <w:szCs w:val="32"/>
              </w:rPr>
            </w:pPr>
            <w:r>
              <w:rPr>
                <w:color w:val="000000"/>
                <w:szCs w:val="32"/>
              </w:rPr>
              <w:t>5</w:t>
            </w:r>
            <w:r>
              <w:rPr>
                <w:rFonts w:ascii="方正仿宋_GBK" w:cs="宋体" w:hint="eastAsia"/>
                <w:color w:val="000000"/>
                <w:szCs w:val="32"/>
              </w:rPr>
              <w:t>座小轿车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pStyle w:val="143"/>
              <w:spacing w:line="400" w:lineRule="exact"/>
              <w:jc w:val="left"/>
              <w:rPr>
                <w:color w:val="000000"/>
                <w:szCs w:val="32"/>
              </w:rPr>
            </w:pPr>
            <w:r>
              <w:rPr>
                <w:color w:val="000000"/>
                <w:szCs w:val="32"/>
              </w:rPr>
              <w:t>3</w:t>
            </w:r>
          </w:p>
        </w:tc>
        <w:tc>
          <w:tcPr>
            <w:tcW w:w="1775" w:type="dxa"/>
            <w:tcBorders>
              <w:top w:val="single" w:sz="6" w:space="0" w:color="auto"/>
              <w:left w:val="single" w:sz="6" w:space="0" w:color="auto"/>
              <w:bottom w:val="single" w:sz="6" w:space="0" w:color="auto"/>
              <w:right w:val="single" w:sz="6" w:space="0" w:color="auto"/>
            </w:tcBorders>
            <w:noWrap/>
            <w:vAlign w:val="center"/>
          </w:tcPr>
          <w:p>
            <w:pPr>
              <w:pStyle w:val="142"/>
              <w:spacing w:line="400" w:lineRule="exact"/>
              <w:jc w:val="left"/>
              <w:rPr>
                <w:rFonts w:ascii="方正仿宋_GBK" w:cs="宋体" w:hint="eastAsia"/>
                <w:szCs w:val="32"/>
              </w:rPr>
            </w:pPr>
            <w:r>
              <w:rPr>
                <w:rFonts w:ascii="方正仿宋_GBK" w:cs="宋体" w:hint="eastAsia"/>
                <w:szCs w:val="32"/>
              </w:rPr>
              <w:t>粤</w:t>
            </w:r>
            <w:r>
              <w:rPr>
                <w:szCs w:val="32"/>
              </w:rPr>
              <w:t>AN1P00</w:t>
            </w:r>
          </w:p>
        </w:tc>
        <w:tc>
          <w:tcPr>
            <w:tcW w:w="2333" w:type="dxa"/>
            <w:tcBorders>
              <w:top w:val="single" w:sz="6" w:space="0" w:color="auto"/>
              <w:left w:val="single" w:sz="6" w:space="0" w:color="auto"/>
              <w:bottom w:val="single" w:sz="6" w:space="0" w:color="auto"/>
              <w:right w:val="single" w:sz="6" w:space="0" w:color="auto"/>
            </w:tcBorders>
            <w:noWrap/>
            <w:vAlign w:val="center"/>
          </w:tcPr>
          <w:p>
            <w:pPr>
              <w:pStyle w:val="141"/>
              <w:spacing w:line="400" w:lineRule="exact"/>
              <w:jc w:val="left"/>
              <w:rPr>
                <w:rFonts w:ascii="方正仿宋_GBK" w:cs="宋体" w:hint="eastAsia"/>
                <w:color w:val="000000"/>
                <w:szCs w:val="32"/>
              </w:rPr>
            </w:pPr>
            <w:r>
              <w:rPr>
                <w:rFonts w:ascii="方正仿宋_GBK" w:cs="宋体" w:hint="eastAsia"/>
                <w:color w:val="000000"/>
                <w:szCs w:val="32"/>
              </w:rPr>
              <w:t>中华人民共和国黄埔海关缉私局</w:t>
            </w:r>
          </w:p>
        </w:tc>
        <w:tc>
          <w:tcPr>
            <w:tcW w:w="2684" w:type="dxa"/>
            <w:tcBorders>
              <w:top w:val="single" w:sz="6" w:space="0" w:color="auto"/>
              <w:left w:val="single" w:sz="6" w:space="0" w:color="auto"/>
              <w:bottom w:val="single" w:sz="6" w:space="0" w:color="auto"/>
              <w:right w:val="single" w:sz="6" w:space="0" w:color="auto"/>
            </w:tcBorders>
            <w:noWrap/>
            <w:vAlign w:val="center"/>
          </w:tcPr>
          <w:p>
            <w:pPr>
              <w:pStyle w:val="140"/>
              <w:spacing w:line="400" w:lineRule="exact"/>
              <w:jc w:val="left"/>
              <w:rPr>
                <w:rFonts w:ascii="方正仿宋_GBK" w:cs="宋体" w:hint="eastAsia"/>
                <w:color w:val="000000"/>
                <w:szCs w:val="32"/>
              </w:rPr>
            </w:pPr>
            <w:r>
              <w:rPr>
                <w:rFonts w:ascii="方正仿宋_GBK" w:cs="宋体" w:hint="eastAsia"/>
                <w:color w:val="000000"/>
                <w:szCs w:val="32"/>
              </w:rPr>
              <w:t>别克</w:t>
            </w:r>
            <w:r>
              <w:rPr>
                <w:color w:val="000000"/>
                <w:szCs w:val="32"/>
              </w:rPr>
              <w:t>SGM6529ATA</w:t>
            </w:r>
          </w:p>
        </w:tc>
        <w:tc>
          <w:tcPr>
            <w:tcW w:w="1688" w:type="dxa"/>
            <w:tcBorders>
              <w:top w:val="single" w:sz="6" w:space="0" w:color="auto"/>
              <w:left w:val="single" w:sz="6" w:space="0" w:color="auto"/>
              <w:bottom w:val="single" w:sz="6" w:space="0" w:color="auto"/>
              <w:right w:val="single" w:sz="6" w:space="0" w:color="auto"/>
            </w:tcBorders>
            <w:noWrap/>
            <w:vAlign w:val="center"/>
          </w:tcPr>
          <w:p>
            <w:pPr>
              <w:pStyle w:val="139"/>
              <w:spacing w:line="400" w:lineRule="exact"/>
              <w:jc w:val="left"/>
              <w:rPr>
                <w:rFonts w:ascii="方正仿宋_GBK" w:cs="宋体" w:hint="eastAsia"/>
                <w:color w:val="000000"/>
                <w:szCs w:val="32"/>
              </w:rPr>
            </w:pPr>
            <w:r>
              <w:rPr>
                <w:color w:val="000000"/>
                <w:szCs w:val="32"/>
              </w:rPr>
              <w:t>7</w:t>
            </w:r>
            <w:r>
              <w:rPr>
                <w:rFonts w:ascii="方正仿宋_GBK" w:cs="宋体" w:hint="eastAsia"/>
                <w:color w:val="000000"/>
                <w:szCs w:val="32"/>
              </w:rPr>
              <w:t>座小客车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pStyle w:val="138"/>
              <w:spacing w:line="400" w:lineRule="exact"/>
              <w:jc w:val="left"/>
              <w:rPr>
                <w:color w:val="000000"/>
                <w:szCs w:val="32"/>
              </w:rPr>
            </w:pPr>
            <w:r>
              <w:rPr>
                <w:color w:val="000000"/>
                <w:szCs w:val="32"/>
              </w:rPr>
              <w:t>4</w:t>
            </w:r>
          </w:p>
        </w:tc>
        <w:tc>
          <w:tcPr>
            <w:tcW w:w="1775" w:type="dxa"/>
            <w:tcBorders>
              <w:top w:val="single" w:sz="6" w:space="0" w:color="auto"/>
              <w:left w:val="single" w:sz="6" w:space="0" w:color="auto"/>
              <w:bottom w:val="single" w:sz="6" w:space="0" w:color="auto"/>
              <w:right w:val="single" w:sz="6" w:space="0" w:color="auto"/>
            </w:tcBorders>
            <w:noWrap/>
            <w:vAlign w:val="center"/>
          </w:tcPr>
          <w:p>
            <w:pPr>
              <w:pStyle w:val="137"/>
              <w:spacing w:line="400" w:lineRule="exact"/>
              <w:jc w:val="left"/>
              <w:rPr>
                <w:rFonts w:ascii="方正仿宋_GBK" w:cs="宋体" w:hint="eastAsia"/>
                <w:szCs w:val="32"/>
              </w:rPr>
            </w:pPr>
            <w:r>
              <w:rPr>
                <w:rFonts w:ascii="方正仿宋_GBK" w:cs="宋体" w:hint="eastAsia"/>
                <w:szCs w:val="32"/>
              </w:rPr>
              <w:t>粤</w:t>
            </w:r>
            <w:r>
              <w:rPr>
                <w:szCs w:val="32"/>
              </w:rPr>
              <w:t>O80413</w:t>
            </w:r>
          </w:p>
        </w:tc>
        <w:tc>
          <w:tcPr>
            <w:tcW w:w="2333" w:type="dxa"/>
            <w:tcBorders>
              <w:top w:val="single" w:sz="6" w:space="0" w:color="auto"/>
              <w:left w:val="single" w:sz="6" w:space="0" w:color="auto"/>
              <w:bottom w:val="single" w:sz="6" w:space="0" w:color="auto"/>
              <w:right w:val="single" w:sz="6" w:space="0" w:color="auto"/>
            </w:tcBorders>
            <w:noWrap/>
            <w:vAlign w:val="center"/>
          </w:tcPr>
          <w:p>
            <w:pPr>
              <w:pStyle w:val="136"/>
              <w:spacing w:line="400" w:lineRule="exact"/>
              <w:jc w:val="left"/>
              <w:rPr>
                <w:rFonts w:ascii="方正仿宋_GBK" w:cs="宋体" w:hint="eastAsia"/>
                <w:color w:val="000000"/>
                <w:szCs w:val="32"/>
              </w:rPr>
            </w:pPr>
            <w:r>
              <w:rPr>
                <w:rFonts w:ascii="方正仿宋_GBK" w:cs="宋体" w:hint="eastAsia"/>
                <w:color w:val="000000"/>
                <w:szCs w:val="32"/>
              </w:rPr>
              <w:t>中华人民共和国黄埔海关缉私局</w:t>
            </w:r>
          </w:p>
        </w:tc>
        <w:tc>
          <w:tcPr>
            <w:tcW w:w="2684" w:type="dxa"/>
            <w:tcBorders>
              <w:top w:val="single" w:sz="6" w:space="0" w:color="auto"/>
              <w:left w:val="single" w:sz="6" w:space="0" w:color="auto"/>
              <w:bottom w:val="single" w:sz="6" w:space="0" w:color="auto"/>
              <w:right w:val="single" w:sz="6" w:space="0" w:color="auto"/>
            </w:tcBorders>
            <w:noWrap/>
            <w:vAlign w:val="center"/>
          </w:tcPr>
          <w:p>
            <w:pPr>
              <w:pStyle w:val="135"/>
              <w:spacing w:line="400" w:lineRule="exact"/>
              <w:jc w:val="left"/>
              <w:rPr>
                <w:rFonts w:ascii="方正仿宋_GBK" w:cs="宋体" w:hint="eastAsia"/>
                <w:color w:val="000000"/>
                <w:szCs w:val="32"/>
              </w:rPr>
            </w:pPr>
            <w:r>
              <w:rPr>
                <w:rFonts w:ascii="方正仿宋_GBK" w:cs="宋体" w:hint="eastAsia"/>
                <w:color w:val="000000"/>
                <w:szCs w:val="32"/>
              </w:rPr>
              <w:t>别克牌</w:t>
            </w:r>
            <w:r>
              <w:rPr>
                <w:color w:val="000000"/>
                <w:szCs w:val="32"/>
              </w:rPr>
              <w:t>SGM6521UBA4</w:t>
            </w:r>
          </w:p>
        </w:tc>
        <w:tc>
          <w:tcPr>
            <w:tcW w:w="1688" w:type="dxa"/>
            <w:tcBorders>
              <w:top w:val="single" w:sz="6" w:space="0" w:color="auto"/>
              <w:left w:val="single" w:sz="6" w:space="0" w:color="auto"/>
              <w:bottom w:val="single" w:sz="6" w:space="0" w:color="auto"/>
              <w:right w:val="single" w:sz="6" w:space="0" w:color="auto"/>
            </w:tcBorders>
            <w:noWrap/>
            <w:vAlign w:val="center"/>
          </w:tcPr>
          <w:p>
            <w:pPr>
              <w:pStyle w:val="134"/>
              <w:spacing w:line="400" w:lineRule="exact"/>
              <w:jc w:val="left"/>
              <w:rPr>
                <w:rFonts w:ascii="方正仿宋_GBK" w:cs="宋体" w:hint="eastAsia"/>
                <w:color w:val="000000"/>
                <w:szCs w:val="32"/>
              </w:rPr>
            </w:pPr>
            <w:r>
              <w:rPr>
                <w:color w:val="000000"/>
                <w:szCs w:val="32"/>
              </w:rPr>
              <w:t>7</w:t>
            </w:r>
            <w:r>
              <w:rPr>
                <w:rFonts w:ascii="方正仿宋_GBK" w:cs="宋体" w:hint="eastAsia"/>
                <w:color w:val="000000"/>
                <w:szCs w:val="32"/>
              </w:rPr>
              <w:t>座小客车</w:t>
            </w:r>
          </w:p>
        </w:tc>
      </w:tr>
      <w:tr>
        <w:trPr>
          <w:trHeight w:val="599"/>
        </w:trPr>
        <w:tc>
          <w:tcPr>
            <w:tcW w:w="953" w:type="dxa"/>
            <w:tcBorders>
              <w:top w:val="single" w:sz="6" w:space="0" w:color="auto"/>
              <w:left w:val="single" w:sz="6" w:space="0" w:color="auto"/>
              <w:bottom w:val="single" w:sz="6" w:space="0" w:color="auto"/>
              <w:right w:val="single" w:sz="6" w:space="0" w:color="auto"/>
            </w:tcBorders>
            <w:noWrap/>
            <w:vAlign w:val="center"/>
          </w:tcPr>
          <w:p>
            <w:pPr>
              <w:pStyle w:val="133"/>
              <w:spacing w:line="400" w:lineRule="exact"/>
              <w:jc w:val="left"/>
              <w:rPr>
                <w:color w:val="000000"/>
                <w:szCs w:val="32"/>
              </w:rPr>
            </w:pPr>
            <w:r>
              <w:rPr>
                <w:color w:val="000000"/>
                <w:szCs w:val="32"/>
              </w:rPr>
              <w:t>5</w:t>
            </w:r>
          </w:p>
        </w:tc>
        <w:tc>
          <w:tcPr>
            <w:tcW w:w="1775" w:type="dxa"/>
            <w:tcBorders>
              <w:top w:val="single" w:sz="6" w:space="0" w:color="auto"/>
              <w:left w:val="single" w:sz="6" w:space="0" w:color="auto"/>
              <w:bottom w:val="single" w:sz="6" w:space="0" w:color="auto"/>
              <w:right w:val="single" w:sz="6" w:space="0" w:color="auto"/>
            </w:tcBorders>
            <w:noWrap/>
            <w:vAlign w:val="center"/>
          </w:tcPr>
          <w:p>
            <w:pPr>
              <w:pStyle w:val="132"/>
              <w:spacing w:line="400" w:lineRule="exact"/>
              <w:jc w:val="left"/>
              <w:rPr>
                <w:rFonts w:ascii="方正仿宋_GBK" w:cs="宋体" w:hint="eastAsia"/>
                <w:color w:val="000000"/>
                <w:szCs w:val="32"/>
              </w:rPr>
            </w:pPr>
            <w:r>
              <w:rPr>
                <w:rFonts w:ascii="方正仿宋_GBK" w:cs="宋体" w:hint="eastAsia"/>
                <w:color w:val="000000"/>
                <w:szCs w:val="32"/>
              </w:rPr>
              <w:t>粤</w:t>
            </w:r>
            <w:r>
              <w:rPr>
                <w:color w:val="000000"/>
                <w:szCs w:val="32"/>
              </w:rPr>
              <w:t>O80310</w:t>
            </w:r>
          </w:p>
        </w:tc>
        <w:tc>
          <w:tcPr>
            <w:tcW w:w="2333" w:type="dxa"/>
            <w:tcBorders>
              <w:top w:val="single" w:sz="6" w:space="0" w:color="auto"/>
              <w:left w:val="single" w:sz="6" w:space="0" w:color="auto"/>
              <w:bottom w:val="single" w:sz="6" w:space="0" w:color="auto"/>
              <w:right w:val="single" w:sz="6" w:space="0" w:color="auto"/>
            </w:tcBorders>
            <w:noWrap/>
            <w:vAlign w:val="center"/>
          </w:tcPr>
          <w:p>
            <w:pPr>
              <w:pStyle w:val="131"/>
              <w:spacing w:line="400" w:lineRule="exact"/>
              <w:jc w:val="left"/>
              <w:rPr>
                <w:rFonts w:ascii="方正仿宋_GBK" w:cs="宋体" w:hint="eastAsia"/>
                <w:color w:val="000000"/>
                <w:szCs w:val="32"/>
              </w:rPr>
            </w:pPr>
            <w:r>
              <w:rPr>
                <w:rFonts w:ascii="方正仿宋_GBK" w:cs="宋体" w:hint="eastAsia"/>
                <w:color w:val="000000"/>
                <w:szCs w:val="32"/>
              </w:rPr>
              <w:t>中华人民共和国黄埔海关缉私局</w:t>
            </w:r>
          </w:p>
        </w:tc>
        <w:tc>
          <w:tcPr>
            <w:tcW w:w="2684" w:type="dxa"/>
            <w:tcBorders>
              <w:top w:val="single" w:sz="6" w:space="0" w:color="auto"/>
              <w:left w:val="single" w:sz="6" w:space="0" w:color="auto"/>
              <w:bottom w:val="single" w:sz="6" w:space="0" w:color="auto"/>
              <w:right w:val="single" w:sz="6" w:space="0" w:color="auto"/>
            </w:tcBorders>
            <w:noWrap/>
            <w:vAlign w:val="center"/>
          </w:tcPr>
          <w:p>
            <w:pPr>
              <w:pStyle w:val="130"/>
              <w:spacing w:line="400" w:lineRule="exact"/>
              <w:jc w:val="left"/>
              <w:rPr>
                <w:rFonts w:ascii="方正仿宋_GBK" w:cs="宋体" w:hint="eastAsia"/>
                <w:color w:val="000000"/>
                <w:szCs w:val="32"/>
              </w:rPr>
            </w:pPr>
            <w:r>
              <w:rPr>
                <w:rFonts w:ascii="方正仿宋_GBK" w:cs="宋体" w:hint="eastAsia"/>
                <w:color w:val="000000"/>
                <w:szCs w:val="32"/>
              </w:rPr>
              <w:t>本田</w:t>
            </w:r>
            <w:r>
              <w:rPr>
                <w:color w:val="000000"/>
                <w:szCs w:val="32"/>
              </w:rPr>
              <w:t>GHA7150AAC6C</w:t>
            </w:r>
          </w:p>
        </w:tc>
        <w:tc>
          <w:tcPr>
            <w:tcW w:w="1688" w:type="dxa"/>
            <w:tcBorders>
              <w:top w:val="single" w:sz="6" w:space="0" w:color="auto"/>
              <w:left w:val="single" w:sz="6" w:space="0" w:color="auto"/>
              <w:bottom w:val="single" w:sz="6" w:space="0" w:color="auto"/>
              <w:right w:val="single" w:sz="6" w:space="0" w:color="auto"/>
            </w:tcBorders>
            <w:noWrap/>
            <w:vAlign w:val="center"/>
          </w:tcPr>
          <w:p>
            <w:pPr>
              <w:pStyle w:val="129"/>
              <w:spacing w:line="400" w:lineRule="exact"/>
              <w:jc w:val="left"/>
              <w:rPr>
                <w:rFonts w:ascii="方正仿宋_GBK" w:cs="宋体" w:hint="eastAsia"/>
                <w:color w:val="000000"/>
                <w:szCs w:val="32"/>
              </w:rPr>
            </w:pPr>
            <w:r>
              <w:rPr>
                <w:color w:val="000000"/>
                <w:szCs w:val="32"/>
              </w:rPr>
              <w:t>5</w:t>
            </w:r>
            <w:r>
              <w:rPr>
                <w:rFonts w:ascii="方正仿宋_GBK" w:cs="宋体" w:hint="eastAsia"/>
                <w:color w:val="000000"/>
                <w:szCs w:val="32"/>
              </w:rPr>
              <w:t>座小轿车</w:t>
            </w:r>
          </w:p>
        </w:tc>
      </w:tr>
    </w:tbl>
    <w:p>
      <w:pPr>
        <w:jc w:val="left"/>
      </w:pPr>
    </w:p>
    <w:sectPr>
      <w:pgSz w:w="11907" w:h="16840"/>
      <w:pgMar w:top="2098" w:right="1474" w:bottom="1985" w:left="1588" w:header="1814" w:footer="1474" w:gutter="0"/>
      <w:pgNumType w:start="0"/>
      <w:titlePg/>
      <w:docGrid w:type="linesAndChars" w:linePitch="580" w:charSpace="-84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宋体">
    <w:altName w:val="es New Roman"/>
    <w:panose1 w:val="02010600030101010101"/>
    <w:charset w:val="86"/>
    <w:family w:val="auto"/>
    <w:pitch w:val="variable"/>
    <w:sig w:usb0="00000003" w:usb1="288F0000" w:usb2="00000016" w:usb3="00000000" w:csb0="00040001" w:csb1="00000000"/>
  </w:font>
  <w:font w:name="方正仿宋_GBK">
    <w:altName w:val="Arial Unicode MS"/>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um"/>
    <w:panose1 w:val="02010609060101010101"/>
    <w:charset w:val="86"/>
    <w:family w:val="modern"/>
    <w:pitch w:val="variable"/>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doNotUseIndentAsNumberingTabStop/>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方正仿宋_GBK" w:cs="Times New Roman" w:hAnsi="Times New Roman"/>
      <w:kern w:val="2"/>
      <w:sz w:val="32"/>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rPr>
  </w:style>
  <w:style w:type="paragraph" w:styleId="3">
    <w:name w:val="heading 3"/>
    <w:basedOn w:val="0"/>
    <w:next w:val="0"/>
    <w:pPr>
      <w:keepNext/>
      <w:keepLines/>
      <w:widowControl w:val="0"/>
      <w:spacing w:before="260" w:after="260" w:line="415" w:lineRule="auto"/>
      <w:outlineLvl w:val="2"/>
    </w:pPr>
    <w:rPr>
      <w:b/>
    </w:rPr>
  </w:style>
  <w:style w:type="character" w:default="1" w:styleId="10">
    <w:name w:val="Default Paragraph Font"/>
  </w:style>
  <w:style w:type="paragraph" w:styleId="15">
    <w:name w:val="index 5"/>
    <w:basedOn w:val="0"/>
    <w:autoRedefine/>
    <w:next w:val="0"/>
    <w:pPr>
      <w:ind w:left="1680"/>
    </w:pPr>
  </w:style>
  <w:style w:type="paragraph" w:styleId="16">
    <w:name w:val="toc 3"/>
    <w:basedOn w:val="0"/>
    <w:autoRedefine/>
    <w:next w:val="0"/>
    <w:pPr>
      <w:ind w:left="840"/>
    </w:pPr>
  </w:style>
  <w:style w:type="paragraph" w:styleId="17">
    <w:name w:val="toc 7"/>
    <w:basedOn w:val="0"/>
    <w:autoRedefine/>
    <w:next w:val="0"/>
    <w:pPr>
      <w:ind w:left="2520"/>
    </w:pPr>
  </w:style>
  <w:style w:type="paragraph" w:styleId="18">
    <w:name w:val="toc 8"/>
    <w:basedOn w:val="0"/>
    <w:autoRedefine/>
    <w:next w:val="0"/>
    <w:pPr>
      <w:ind w:left="2940"/>
    </w:pPr>
  </w:style>
  <w:style w:type="paragraph" w:styleId="19">
    <w:name w:val="toc 9"/>
    <w:basedOn w:val="0"/>
    <w:autoRedefine/>
    <w:next w:val="0"/>
    <w:pPr>
      <w:ind w:left="3360"/>
    </w:pPr>
  </w:style>
  <w:style w:type="paragraph" w:styleId="20">
    <w:name w:val="header"/>
    <w:basedOn w:val="0"/>
    <w:pPr>
      <w:pBdr>
        <w:bottom w:val="single" w:sz="6" w:space="1" w:color="auto"/>
      </w:pBdr>
      <w:tabs>
        <w:tab w:val="center" w:pos="4153"/>
        <w:tab w:val="right" w:pos="8307"/>
      </w:tabs>
      <w:snapToGrid w:val="0"/>
      <w:jc w:val="center"/>
    </w:pPr>
    <w:rPr>
      <w:sz w:val="18"/>
    </w:rPr>
  </w:style>
  <w:style w:type="paragraph" w:styleId="21">
    <w:name w:val="footer"/>
    <w:basedOn w:val="0"/>
    <w:pPr>
      <w:tabs>
        <w:tab w:val="center" w:pos="4153"/>
        <w:tab w:val="right" w:pos="8307"/>
      </w:tabs>
      <w:snapToGrid w:val="0"/>
      <w:jc w:val="left"/>
    </w:pPr>
    <w:rPr>
      <w:sz w:val="18"/>
    </w:rPr>
  </w:style>
  <w:style w:type="paragraph" w:customStyle="1" w:styleId="22">
    <w:name w:val="样式 7 10 磅"/>
    <w:next w:val="17"/>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8 10 磅"/>
    <w:next w:val="18"/>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列出段落1"/>
    <w:next w:val="15"/>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25">
    <w:name w:val="样式 3 10 磅"/>
    <w:next w:val="16"/>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26">
    <w:name w:val="样式 9 10 磅"/>
    <w:next w:val="19"/>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27">
    <w:name w:val="样式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29">
    <w:name w:val="样式 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0">
    <w:name w:val="样式 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1">
    <w:name w:val="样式 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2">
    <w:name w:val="样式 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3">
    <w:name w:val="样式 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4">
    <w:name w:val="样式 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5">
    <w:name w:val="样式 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6">
    <w:name w:val="样式 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7">
    <w:name w:val="样式 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8">
    <w:name w:val="样式 1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39">
    <w:name w:val="样式 1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0">
    <w:name w:val="样式 1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1">
    <w:name w:val="样式 1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2">
    <w:name w:val="样式 1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3">
    <w:name w:val="样式 1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4">
    <w:name w:val="样式 1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5">
    <w:name w:val="样式 1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6">
    <w:name w:val="样式 1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7">
    <w:name w:val="样式 1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8">
    <w:name w:val="样式 2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49">
    <w:name w:val="样式 2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0">
    <w:name w:val="样式 2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1">
    <w:name w:val="样式 2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2">
    <w:name w:val="样式 2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3">
    <w:name w:val="样式 2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4">
    <w:name w:val="样式 2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5">
    <w:name w:val="样式 2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6">
    <w:name w:val="样式 2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7">
    <w:name w:val="样式 2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8">
    <w:name w:val="样式 30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59">
    <w:name w:val="样式 31 三号"/>
    <w:pPr>
      <w:widowControl w:val="0"/>
      <w:jc w:val="both"/>
    </w:pPr>
    <w:rPr>
      <w:rFonts w:ascii="Times New Roman" w:eastAsia="方正仿宋_GBK" w:cs="Times New Roman" w:hAnsi="Times New Roman"/>
      <w:kern w:val="2"/>
      <w:sz w:val="32"/>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95</TotalTime>
  <Application>Yozo_Office</Application>
  <Pages>2</Pages>
  <Words>357</Words>
  <Characters>574</Characters>
  <Lines>105</Lines>
  <Paragraphs>82</Paragraphs>
  <CharactersWithSpaces>586</CharactersWithSpaces>
  <Company>ITianKong.Com</Company>
</Properties>
</file>

<file path=docProps/core.xml><?xml version="1.0" encoding="utf-8"?>
<cp:coreProperties xmlns:cp="http://schemas.openxmlformats.org/package/2006/metadata/core-properties" xmlns:dc="http://purl.org/dc/elements/1.1/" xmlns:dcterms="http://purl.org/dc/terms/" xmlns:xsi="http://www.w3.org/2001/XMLSchema-instance">
  <dc:creator>SkyUser</dc:creator>
  <cp:lastModifiedBy>SkyUser</cp:lastModifiedBy>
  <cp:revision>5</cp:revision>
  <dcterms:created xsi:type="dcterms:W3CDTF">2025-12-10T03:20:00Z</dcterms:created>
  <dcterms:modified xsi:type="dcterms:W3CDTF">2025-12-12T07:12:08Z</dcterms:modified>
</cp:coreProperties>
</file>